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46" w:rsidRDefault="00445746" w:rsidP="00ED3BDC"/>
    <w:p w:rsidR="00445746" w:rsidRDefault="00E95009" w:rsidP="00B67D96">
      <w:pPr>
        <w:jc w:val="center"/>
        <w:rPr>
          <w:rFonts w:cs="Arial"/>
          <w:b/>
          <w:bCs/>
          <w:sz w:val="32"/>
        </w:rPr>
      </w:pPr>
      <w:r>
        <w:rPr>
          <w:b/>
          <w:sz w:val="32"/>
        </w:rPr>
        <w:t xml:space="preserve">BWD Report For the Bathing Season </w:t>
      </w:r>
      <w:r>
        <w:rPr>
          <w:rFonts w:cs="Arial"/>
          <w:b/>
          <w:bCs/>
          <w:sz w:val="32"/>
        </w:rPr>
        <w:t>2017</w:t>
      </w:r>
    </w:p>
    <w:p w:rsidR="00445746" w:rsidRDefault="0079462E" w:rsidP="00B67D96">
      <w:pPr>
        <w:jc w:val="center"/>
        <w:rPr>
          <w:b/>
          <w:sz w:val="40"/>
        </w:rPr>
      </w:pPr>
      <w:r>
        <w:rPr>
          <w:b/>
          <w:sz w:val="40"/>
        </w:rPr>
        <w:t>Slovenia</w:t>
      </w:r>
    </w:p>
    <w:p w:rsidR="00445746" w:rsidRDefault="00445746" w:rsidP="00ED3BDC"/>
    <w:p w:rsidR="00445746" w:rsidRDefault="00445746" w:rsidP="00ED3BDC"/>
    <w:p w:rsidR="00445746"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Slovenia.</w:t>
      </w:r>
    </w:p>
    <w:p w:rsidR="00445746" w:rsidRDefault="00445746" w:rsidP="00ED3BDC"/>
    <w:p w:rsidR="00445746" w:rsidRDefault="00445746" w:rsidP="00ED3BDC"/>
    <w:p w:rsidR="00445746" w:rsidRDefault="0079462E" w:rsidP="00ED3BDC">
      <w:pPr>
        <w:pStyle w:val="Heading1"/>
      </w:pPr>
      <w:r>
        <w:t xml:space="preserve">BWD reporting in the season </w:t>
      </w:r>
      <w:r>
        <w:rPr>
          <w:szCs w:val="28"/>
        </w:rPr>
        <w:t>2017</w:t>
      </w:r>
    </w:p>
    <w:p w:rsidR="00445746" w:rsidRDefault="00445746" w:rsidP="00ED3BDC"/>
    <w:p w:rsidR="00445746"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445746" w:rsidRDefault="0079462E" w:rsidP="00442644">
                            <w:pPr>
                              <w:jc w:val="center"/>
                              <w:rPr>
                                <w:rFonts w:asciiTheme="minorHAnsi" w:hAnsiTheme="minorHAnsi"/>
                                <w:b/>
                              </w:rPr>
                            </w:pPr>
                            <w:r>
                              <w:rPr>
                                <w:rFonts w:asciiTheme="minorHAnsi" w:hAnsiTheme="minorHAnsi"/>
                                <w:b/>
                              </w:rPr>
                              <w:t>Bathing waters of Slovenia in 2017</w:t>
                            </w:r>
                          </w:p>
                          <w:p w:rsidR="00445746" w:rsidRDefault="00445746" w:rsidP="00ED3BDC">
                            <w:pPr>
                              <w:rPr>
                                <w:rFonts w:asciiTheme="minorHAnsi" w:hAnsiTheme="minorHAnsi"/>
                                <w:sz w:val="20"/>
                              </w:rPr>
                            </w:pPr>
                          </w:p>
                          <w:p w:rsidR="00445746"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47</w:t>
                            </w:r>
                          </w:p>
                          <w:p w:rsidR="00445746"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21</w:t>
                            </w:r>
                          </w:p>
                          <w:p w:rsidR="00445746"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26</w:t>
                            </w:r>
                          </w:p>
                          <w:p w:rsidR="00445746" w:rsidRDefault="00445746" w:rsidP="00DB3D3B">
                            <w:pPr>
                              <w:tabs>
                                <w:tab w:val="right" w:pos="3544"/>
                              </w:tabs>
                              <w:rPr>
                                <w:rFonts w:asciiTheme="minorHAnsi" w:hAnsiTheme="minorHAnsi"/>
                                <w:sz w:val="20"/>
                              </w:rPr>
                            </w:pPr>
                          </w:p>
                          <w:p w:rsidR="00445746"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78 / 107 days</w:t>
                            </w:r>
                          </w:p>
                          <w:p w:rsidR="00445746"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 Jun to 15 Sep</w:t>
                            </w:r>
                          </w:p>
                          <w:p w:rsidR="00445746"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15 Jun to 31 Aug</w:t>
                            </w:r>
                          </w:p>
                          <w:p w:rsidR="00445746" w:rsidRDefault="00445746" w:rsidP="00ED3BDC">
                            <w:pPr>
                              <w:rPr>
                                <w:rFonts w:asciiTheme="minorHAnsi" w:hAnsiTheme="minorHAnsi"/>
                                <w:sz w:val="20"/>
                              </w:rPr>
                            </w:pPr>
                          </w:p>
                          <w:p w:rsidR="00445746"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358</w:t>
                            </w:r>
                          </w:p>
                          <w:p w:rsidR="00445746" w:rsidRDefault="00445746" w:rsidP="00ED3BDC">
                            <w:pPr>
                              <w:rPr>
                                <w:rFonts w:asciiTheme="minorHAnsi" w:hAnsiTheme="minorHAnsi"/>
                                <w:sz w:val="20"/>
                              </w:rPr>
                            </w:pPr>
                          </w:p>
                          <w:p w:rsidR="00445746"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98 %</w:t>
                            </w:r>
                          </w:p>
                          <w:p w:rsidR="00445746" w:rsidRDefault="0079462E" w:rsidP="00ED3BDC">
                            <w:pPr>
                              <w:rPr>
                                <w:rFonts w:asciiTheme="minorHAnsi" w:hAnsiTheme="minorHAnsi"/>
                                <w:b/>
                                <w:sz w:val="20"/>
                              </w:rPr>
                            </w:pPr>
                            <w:r>
                              <w:rPr>
                                <w:rFonts w:asciiTheme="minorHAnsi" w:hAnsiTheme="minorHAnsi"/>
                                <w:b/>
                                <w:sz w:val="20"/>
                              </w:rPr>
                              <w:t xml:space="preserve">with good or excellent </w:t>
                            </w:r>
                          </w:p>
                          <w:p w:rsidR="00445746" w:rsidRDefault="0079462E" w:rsidP="00ED3BDC">
                            <w:pPr>
                              <w:rPr>
                                <w:rFonts w:asciiTheme="minorHAnsi" w:hAnsiTheme="minorHAnsi"/>
                                <w:b/>
                                <w:sz w:val="20"/>
                              </w:rPr>
                            </w:pPr>
                            <w:r>
                              <w:rPr>
                                <w:rFonts w:asciiTheme="minorHAnsi" w:hAnsiTheme="minorHAnsi"/>
                                <w:b/>
                                <w:sz w:val="20"/>
                              </w:rPr>
                              <w:t>water quality</w:t>
                            </w:r>
                          </w:p>
                          <w:p w:rsidR="00445746" w:rsidRDefault="00445746" w:rsidP="00ED3BDC">
                            <w:pPr>
                              <w:rPr>
                                <w:rFonts w:asciiTheme="minorHAnsi" w:hAnsiTheme="minorHAnsi"/>
                                <w:sz w:val="20"/>
                              </w:rPr>
                            </w:pPr>
                          </w:p>
                          <w:p w:rsidR="00445746"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2010</w:t>
                            </w:r>
                          </w:p>
                          <w:p w:rsidR="00445746"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Default="0079462E" w:rsidP="00442644">
                      <w:pPr>
                        <w:jc w:val="center"/>
                        <w:rPr>
                          <w:rFonts w:asciiTheme="minorHAnsi" w:hAnsiTheme="minorHAnsi"/>
                          <w:b/>
                        </w:rPr>
                      </w:pPr>
                      <w:r>
                        <w:rPr>
                          <w:rFonts w:asciiTheme="minorHAnsi" w:hAnsiTheme="minorHAnsi"/>
                          <w:b/>
                        </w:rPr>
                        <w:t>Bathing waters of Slovenia in 2017</w:t>
                      </w:r>
                    </w:p>
                    <w:p w:rsidRDefault="0079462E" w:rsidP="00ED3BDC">
                      <w:pPr>
                        <w:rPr>
                          <w:rFonts w:asciiTheme="minorHAnsi" w:hAnsiTheme="minorHAnsi"/>
                          <w:sz w:val="20"/>
                        </w:rPr>
                      </w:pPr>
                    </w:p>
                    <w:p w:rsidRDefault="008B5077" w:rsidP="00DB3D3B">
                      <w:pPr>
                        <w:tabs>
                          <w:tab w:val="right" w:pos="3544"/>
                        </w:tabs>
                        <w:rPr>
                          <w:rFonts w:asciiTheme="minorHAnsi" w:hAnsiTheme="minorHAnsi"/>
                          <w:b/>
                          <w:sz w:val="20"/>
                        </w:rPr>
                      </w:pPr>
                      <w:r>
                        <w:rPr>
                          <w:rFonts w:asciiTheme="minorHAnsi" w:hAnsiTheme="minorHAnsi"/>
                          <w:b/>
                          <w:sz w:val="20"/>
                        </w:rPr>
                        <w:t>Total reported </w:t>
                      </w:r>
                      <w:r>
                        <w:rPr>
                          <w:rFonts w:asciiTheme="minorHAnsi" w:hAnsiTheme="minorHAnsi"/>
                          <w:b/>
                          <w:sz w:val="20"/>
                        </w:rPr>
                        <w:tab/>
                        <w:t>47</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21</w:t>
                      </w:r>
                    </w:p>
                    <w:p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26</w:t>
                      </w:r>
                    </w:p>
                    <w:p w:rsidRDefault="001111CA" w:rsidP="00DB3D3B">
                      <w:pPr>
                        <w:tabs>
                          <w:tab w:val="right" w:pos="3544"/>
                        </w:tabs>
                        <w:rPr>
                          <w:rFonts w:asciiTheme="minorHAnsi" w:hAnsiTheme="minorHAnsi"/>
                          <w:sz w:val="20"/>
                        </w:rPr>
                      </w:pPr>
                    </w:p>
                    <w:p w:rsidRDefault="008A3C2A" w:rsidP="00DB3D3B">
                      <w:pPr>
                        <w:tabs>
                          <w:tab w:val="right" w:pos="3544"/>
                        </w:tabs>
                        <w:rPr>
                          <w:rFonts w:asciiTheme="minorHAnsi" w:hAnsiTheme="minorHAnsi"/>
                          <w:b/>
                          <w:sz w:val="20"/>
                        </w:rPr>
                      </w:pPr>
                      <w:r>
                        <w:rPr>
                          <w:rFonts w:asciiTheme="minorHAnsi" w:hAnsiTheme="minorHAnsi"/>
                          <w:b/>
                          <w:sz w:val="20"/>
                        </w:rPr>
                        <w:t>Max season period </w:t>
                      </w:r>
                      <w:r>
                        <w:rPr>
                          <w:rFonts w:asciiTheme="minorHAnsi" w:hAnsiTheme="minorHAnsi"/>
                          <w:b/>
                          <w:sz w:val="20"/>
                        </w:rPr>
                        <w:tab/>
                      </w:r>
                      <w:r>
                        <w:rPr>
                          <w:rFonts w:asciiTheme="minorHAnsi" w:hAnsiTheme="minorHAnsi"/>
                          <w:b/>
                          <w:sz w:val="20"/>
                        </w:rPr>
                        <w:t>78 / 107 days</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r>
                      <w:r>
                        <w:rPr>
                          <w:rFonts w:asciiTheme="minorHAnsi" w:hAnsiTheme="minorHAnsi"/>
                          <w:sz w:val="20"/>
                        </w:rPr>
                        <w:t>1 Jun to 15 Sep</w:t>
                      </w:r>
                    </w:p>
                    <w:p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r>
                      <w:r>
                        <w:rPr>
                          <w:rFonts w:asciiTheme="minorHAnsi" w:hAnsiTheme="minorHAnsi"/>
                          <w:sz w:val="20"/>
                        </w:rPr>
                        <w:t>15 Jun to 31 Aug</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r>
                      <w:r>
                        <w:rPr>
                          <w:rFonts w:asciiTheme="minorHAnsi" w:hAnsiTheme="minorHAnsi"/>
                          <w:b/>
                          <w:sz w:val="20"/>
                        </w:rPr>
                        <w:t>358</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Share of bathing waters </w:t>
                      </w:r>
                      <w:r>
                        <w:rPr>
                          <w:rFonts w:asciiTheme="minorHAnsi" w:hAnsiTheme="minorHAnsi"/>
                          <w:b/>
                          <w:sz w:val="20"/>
                        </w:rPr>
                        <w:tab/>
                      </w:r>
                      <w:r>
                        <w:rPr>
                          <w:rFonts w:asciiTheme="minorHAnsi" w:hAnsiTheme="minorHAnsi"/>
                          <w:b/>
                          <w:sz w:val="20"/>
                        </w:rPr>
                        <w:t>98 %</w:t>
                      </w:r>
                    </w:p>
                    <w:p w:rsidRDefault="0079462E" w:rsidP="00ED3BDC">
                      <w:pPr>
                        <w:rPr>
                          <w:rFonts w:asciiTheme="minorHAnsi" w:hAnsiTheme="minorHAnsi"/>
                          <w:b/>
                          <w:sz w:val="20"/>
                        </w:rPr>
                      </w:pPr>
                      <w:r>
                        <w:rPr>
                          <w:rFonts w:asciiTheme="minorHAnsi" w:hAnsiTheme="minorHAnsi"/>
                          <w:b/>
                          <w:sz w:val="20"/>
                        </w:rPr>
                        <w:t>with good or excellent </w:t>
                      </w:r>
                    </w:p>
                    <w:p w:rsidRDefault="0079462E" w:rsidP="00ED3BDC">
                      <w:pPr>
                        <w:rPr>
                          <w:rFonts w:asciiTheme="minorHAnsi" w:hAnsiTheme="minorHAnsi"/>
                          <w:b/>
                          <w:sz w:val="20"/>
                        </w:rPr>
                      </w:pPr>
                      <w:r>
                        <w:rPr>
                          <w:rFonts w:asciiTheme="minorHAnsi" w:hAnsiTheme="minorHAnsi"/>
                          <w:b/>
                          <w:sz w:val="20"/>
                        </w:rPr>
                        <w:t>water quality</w:t>
                      </w:r>
                    </w:p>
                    <w:p w:rsidRDefault="0079462E" w:rsidP="00ED3BDC">
                      <w:pPr>
                        <w:rPr>
                          <w:rFonts w:asciiTheme="minorHAnsi" w:hAnsiTheme="minorHAnsi"/>
                          <w:sz w:val="20"/>
                        </w:rPr>
                      </w:pPr>
                    </w:p>
                    <w:p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r>
                      <w:r>
                        <w:rPr>
                          <w:rFonts w:asciiTheme="minorHAnsi" w:hAnsiTheme="minorHAnsi"/>
                          <w:b/>
                          <w:sz w:val="20"/>
                        </w:rPr>
                        <w:t>2010</w:t>
                      </w:r>
                    </w:p>
                    <w:p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47 bathing waters have been reported in Slovenia. For each bathing water, five groups of parameters have been delivered</w:t>
      </w:r>
      <w:r>
        <w:rPr>
          <w:rStyle w:val="FootnoteReference"/>
        </w:rPr>
        <w:footnoteReference w:id="3"/>
      </w:r>
      <w:r>
        <w:t>:</w:t>
      </w:r>
    </w:p>
    <w:p w:rsidR="00445746"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445746"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445746"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445746"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445746"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445746" w:rsidRDefault="00445746" w:rsidP="00ED3BDC"/>
    <w:p w:rsidR="00445746" w:rsidRDefault="0079462E" w:rsidP="00ED3BDC">
      <w:r>
        <w:t xml:space="preserve">The authorities of </w:t>
      </w:r>
      <w:r>
        <w:rPr>
          <w:rFonts w:ascii="Cambria" w:hAnsi="Cambria"/>
        </w:rPr>
        <w:t>Slovenia</w:t>
      </w:r>
      <w:r>
        <w:t xml:space="preserve"> report data according to the new BWD (2006/7/EC) since the season </w:t>
      </w:r>
      <w:r>
        <w:rPr>
          <w:rFonts w:ascii="Cambria" w:hAnsi="Cambria"/>
        </w:rPr>
        <w:t>2010</w:t>
      </w:r>
      <w:r>
        <w:t>.</w:t>
      </w:r>
    </w:p>
    <w:p w:rsidR="00445746" w:rsidRDefault="00445746" w:rsidP="00ED3BDC"/>
    <w:p w:rsidR="00445746" w:rsidRDefault="0079462E" w:rsidP="00ED3BDC">
      <w:r>
        <w:t xml:space="preserve">Altogether, </w:t>
      </w:r>
      <w:r>
        <w:rPr>
          <w:rFonts w:ascii="Cambria" w:hAnsi="Cambria"/>
          <w:b/>
        </w:rPr>
        <w:t>47</w:t>
      </w:r>
      <w:r>
        <w:rPr>
          <w:rFonts w:ascii="Cambria" w:hAnsi="Cambria"/>
        </w:rPr>
        <w:t xml:space="preserve"> </w:t>
      </w:r>
      <w:r>
        <w:rPr>
          <w:b/>
        </w:rPr>
        <w:t xml:space="preserve">bathing waters </w:t>
      </w:r>
      <w:r>
        <w:t xml:space="preserve">have been reported – 0.2% of all bathing waters in Europe. </w:t>
      </w:r>
      <w:r w:rsidR="00CF5B75">
        <w:t>No</w:t>
      </w:r>
      <w:r>
        <w:t xml:space="preserve"> bathing waters have been newly reported in the recent season. 45% of bathing waters in Slovenia are of coastal type; the other 55% are inland. </w:t>
      </w:r>
      <w:r>
        <w:rPr>
          <w:b/>
        </w:rPr>
        <w:t>358 samples</w:t>
      </w:r>
      <w:r>
        <w:t xml:space="preserve"> were taken at bathing waters throughout the season – 8 per bathing water on average.</w:t>
      </w:r>
    </w:p>
    <w:p w:rsidR="00445746" w:rsidRDefault="00445746" w:rsidP="00ED3BDC"/>
    <w:p w:rsidR="00445746" w:rsidRDefault="002B438D" w:rsidP="00ED3BDC">
      <w:r>
        <w:lastRenderedPageBreak/>
        <w:t xml:space="preserve">The bathing season period was from 1 June to 15 September for coastal bathing waters, i.e. 107 days altogether. </w:t>
      </w:r>
      <w:r w:rsidR="00CF5B75">
        <w:t>I</w:t>
      </w:r>
      <w:r w:rsidR="00E61218">
        <w:t>nland bathing season period was from 15 June</w:t>
      </w:r>
      <w:r w:rsidR="00CF5B75">
        <w:t xml:space="preserve"> to 31 August, i.e. 78 days.</w:t>
      </w:r>
    </w:p>
    <w:p w:rsidR="00445746" w:rsidRDefault="00445746" w:rsidP="00ED3BDC"/>
    <w:p w:rsidR="00445746" w:rsidRDefault="002B438D" w:rsidP="00ED3BDC">
      <w:r>
        <w:t xml:space="preserve">Detailed information on bathing waters is available from national portal at </w:t>
      </w:r>
      <w:hyperlink r:id="rId9" w:history="1">
        <w:r w:rsidR="00CF5B75" w:rsidRPr="003F4ABB">
          <w:rPr>
            <w:rStyle w:val="Hyperlink"/>
          </w:rPr>
          <w:t>http://www.mop.gov.si/si/delovna_podrocja/voda/kopalne_vode/</w:t>
        </w:r>
      </w:hyperlink>
      <w:r>
        <w:t>.</w:t>
      </w:r>
    </w:p>
    <w:p w:rsidR="00445746" w:rsidRDefault="00445746" w:rsidP="00ED3BDC"/>
    <w:p w:rsidR="00445746" w:rsidRDefault="00445746" w:rsidP="00ED3BDC"/>
    <w:p w:rsidR="00445746" w:rsidRDefault="002B438D" w:rsidP="00ED3BDC">
      <w:pPr>
        <w:pStyle w:val="Heading1"/>
      </w:pPr>
      <w:r>
        <w:t>Assessment methodology</w:t>
      </w:r>
      <w:r>
        <w:rPr>
          <w:rStyle w:val="FootnoteReference"/>
        </w:rPr>
        <w:footnoteReference w:id="4"/>
      </w:r>
    </w:p>
    <w:p w:rsidR="00445746" w:rsidRDefault="00445746" w:rsidP="00ED3BDC"/>
    <w:p w:rsidR="00445746"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445746" w:rsidRDefault="00445746" w:rsidP="00ED3BDC"/>
    <w:p w:rsidR="00445746" w:rsidRDefault="003F038E" w:rsidP="00ED3BDC">
      <w:r>
        <w:t>The monitoring requirements under the Directive are:</w:t>
      </w:r>
    </w:p>
    <w:p w:rsidR="00445746"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445746"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445746"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445746" w:rsidRDefault="00445746" w:rsidP="00ED3BDC"/>
    <w:p w:rsidR="00445746" w:rsidRDefault="003F038E" w:rsidP="003F038E">
      <w:r>
        <w:t xml:space="preserve">If these rules are satisfied, the bathing water is categorised as 'sampling frequency satisfied'. If not all monitoring requirements are fulfilled the bathing water is categorised as 'not enough samples'. 100.0%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445746" w:rsidRDefault="00445746" w:rsidP="00ED3BDC"/>
    <w:p w:rsidR="00445746"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445746" w:rsidTr="00484359">
        <w:trPr>
          <w:trHeight w:val="343"/>
        </w:trPr>
        <w:tc>
          <w:tcPr>
            <w:tcW w:w="6379" w:type="dxa"/>
            <w:shd w:val="clear" w:color="auto" w:fill="F2F2F2" w:themeFill="background1" w:themeFillShade="F2"/>
            <w:vAlign w:val="center"/>
          </w:tcPr>
          <w:p w:rsidR="00445746" w:rsidRDefault="00445746" w:rsidP="00484359">
            <w:pPr>
              <w:jc w:val="left"/>
              <w:rPr>
                <w:rFonts w:asciiTheme="minorHAnsi" w:hAnsiTheme="minorHAnsi"/>
                <w:b/>
                <w:sz w:val="20"/>
              </w:rPr>
            </w:pPr>
          </w:p>
        </w:tc>
        <w:tc>
          <w:tcPr>
            <w:tcW w:w="1701" w:type="dxa"/>
            <w:shd w:val="clear" w:color="auto" w:fill="F2F2F2" w:themeFill="background1" w:themeFillShade="F2"/>
            <w:vAlign w:val="center"/>
          </w:tcPr>
          <w:p w:rsidR="00445746"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445746" w:rsidRDefault="00484359" w:rsidP="00484359">
            <w:pPr>
              <w:jc w:val="left"/>
              <w:rPr>
                <w:rFonts w:asciiTheme="minorHAnsi" w:hAnsiTheme="minorHAnsi"/>
                <w:b/>
                <w:sz w:val="20"/>
              </w:rPr>
            </w:pPr>
            <w:r>
              <w:rPr>
                <w:rFonts w:asciiTheme="minorHAnsi" w:hAnsiTheme="minorHAnsi"/>
                <w:b/>
                <w:sz w:val="20"/>
              </w:rPr>
              <w:t>Share of total [%]</w:t>
            </w:r>
          </w:p>
        </w:tc>
      </w:tr>
      <w:tr w:rsidR="00445746" w:rsidTr="00484359">
        <w:tc>
          <w:tcPr>
            <w:tcW w:w="6379" w:type="dxa"/>
          </w:tcPr>
          <w:p w:rsidR="00445746"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445746"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445746" w:rsidRDefault="006D2330" w:rsidP="00B14C10">
            <w:pPr>
              <w:jc w:val="right"/>
              <w:rPr>
                <w:rFonts w:asciiTheme="minorHAnsi" w:hAnsiTheme="minorHAnsi"/>
                <w:sz w:val="20"/>
              </w:rPr>
            </w:pPr>
            <w:r>
              <w:rPr>
                <w:rFonts w:asciiTheme="minorHAnsi" w:hAnsiTheme="minorHAnsi"/>
                <w:sz w:val="20"/>
              </w:rPr>
              <w:t>47</w:t>
            </w:r>
          </w:p>
        </w:tc>
        <w:tc>
          <w:tcPr>
            <w:tcW w:w="1701" w:type="dxa"/>
            <w:vAlign w:val="center"/>
          </w:tcPr>
          <w:p w:rsidR="00445746" w:rsidRDefault="004D61EC" w:rsidP="00B14C10">
            <w:pPr>
              <w:jc w:val="right"/>
              <w:rPr>
                <w:rFonts w:asciiTheme="minorHAnsi" w:hAnsiTheme="minorHAnsi"/>
                <w:b/>
                <w:sz w:val="20"/>
              </w:rPr>
            </w:pPr>
            <w:r>
              <w:rPr>
                <w:rFonts w:asciiTheme="minorHAnsi" w:hAnsiTheme="minorHAnsi"/>
                <w:sz w:val="20"/>
              </w:rPr>
              <w:t>100.0%</w:t>
            </w:r>
          </w:p>
        </w:tc>
      </w:tr>
      <w:tr w:rsidR="00445746" w:rsidTr="00484359">
        <w:tc>
          <w:tcPr>
            <w:tcW w:w="6379" w:type="dxa"/>
          </w:tcPr>
          <w:p w:rsidR="00445746"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445746"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445746"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445746" w:rsidRDefault="004D61EC" w:rsidP="00484359">
            <w:pPr>
              <w:jc w:val="right"/>
              <w:rPr>
                <w:rFonts w:asciiTheme="minorHAnsi" w:hAnsiTheme="minorHAnsi"/>
                <w:b/>
                <w:sz w:val="20"/>
              </w:rPr>
            </w:pPr>
            <w:r>
              <w:rPr>
                <w:rFonts w:asciiTheme="minorHAnsi" w:hAnsiTheme="minorHAnsi"/>
                <w:sz w:val="20"/>
              </w:rPr>
              <w:t>0.0%</w:t>
            </w:r>
          </w:p>
        </w:tc>
      </w:tr>
      <w:tr w:rsidR="00445746" w:rsidTr="00484359">
        <w:tc>
          <w:tcPr>
            <w:tcW w:w="6379" w:type="dxa"/>
          </w:tcPr>
          <w:p w:rsidR="00445746"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445746"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445746"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445746" w:rsidRDefault="004D61EC" w:rsidP="00B14C10">
            <w:pPr>
              <w:jc w:val="right"/>
              <w:rPr>
                <w:rFonts w:asciiTheme="minorHAnsi" w:hAnsiTheme="minorHAnsi"/>
                <w:b/>
                <w:sz w:val="20"/>
              </w:rPr>
            </w:pPr>
            <w:r>
              <w:rPr>
                <w:rFonts w:asciiTheme="minorHAnsi" w:hAnsiTheme="minorHAnsi"/>
                <w:sz w:val="20"/>
              </w:rPr>
              <w:t>0.0%</w:t>
            </w:r>
          </w:p>
        </w:tc>
      </w:tr>
      <w:tr w:rsidR="00445746" w:rsidTr="00484359">
        <w:trPr>
          <w:trHeight w:val="323"/>
        </w:trPr>
        <w:tc>
          <w:tcPr>
            <w:tcW w:w="6379" w:type="dxa"/>
            <w:shd w:val="clear" w:color="auto" w:fill="F2F2F2" w:themeFill="background1" w:themeFillShade="F2"/>
            <w:vAlign w:val="center"/>
          </w:tcPr>
          <w:p w:rsidR="00445746"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445746" w:rsidRDefault="00993FEC" w:rsidP="00484359">
            <w:pPr>
              <w:jc w:val="right"/>
              <w:rPr>
                <w:rFonts w:asciiTheme="minorHAnsi" w:hAnsiTheme="minorHAnsi"/>
                <w:b/>
                <w:sz w:val="20"/>
              </w:rPr>
            </w:pPr>
            <w:r>
              <w:rPr>
                <w:rFonts w:asciiTheme="minorHAnsi" w:hAnsiTheme="minorHAnsi"/>
                <w:b/>
                <w:sz w:val="20"/>
              </w:rPr>
              <w:t>47</w:t>
            </w:r>
          </w:p>
        </w:tc>
        <w:tc>
          <w:tcPr>
            <w:tcW w:w="1701" w:type="dxa"/>
            <w:shd w:val="clear" w:color="auto" w:fill="F2F2F2" w:themeFill="background1" w:themeFillShade="F2"/>
            <w:vAlign w:val="center"/>
          </w:tcPr>
          <w:p w:rsidR="00445746" w:rsidRDefault="004943BD" w:rsidP="004943BD">
            <w:pPr>
              <w:jc w:val="right"/>
              <w:rPr>
                <w:rFonts w:asciiTheme="minorHAnsi" w:hAnsiTheme="minorHAnsi"/>
                <w:b/>
                <w:sz w:val="20"/>
              </w:rPr>
            </w:pPr>
            <w:r>
              <w:rPr>
                <w:rFonts w:asciiTheme="minorHAnsi" w:hAnsiTheme="minorHAnsi"/>
                <w:b/>
                <w:sz w:val="20"/>
              </w:rPr>
              <w:t>100%</w:t>
            </w:r>
          </w:p>
        </w:tc>
      </w:tr>
    </w:tbl>
    <w:p w:rsidR="00445746" w:rsidRDefault="00445746" w:rsidP="00ED3BDC"/>
    <w:p w:rsidR="00445746"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445746" w:rsidRDefault="00445746" w:rsidP="00ED3BDC"/>
    <w:p w:rsidR="00445746"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445746" w:rsidRDefault="00445746" w:rsidP="00ED3BDC"/>
    <w:p w:rsidR="00445746" w:rsidRDefault="002F24A6" w:rsidP="002F24A6">
      <w:r>
        <w:t>Quality assessment is not possible for all bathing waters. In these cases, they are instead classified as either:</w:t>
      </w:r>
    </w:p>
    <w:p w:rsidR="00445746" w:rsidRDefault="002F24A6" w:rsidP="002F24A6">
      <w:pPr>
        <w:ind w:firstLine="284"/>
      </w:pPr>
      <w:r>
        <w:t>• not enough samples</w:t>
      </w:r>
      <w:r>
        <w:rPr>
          <w:rStyle w:val="FootnoteReference"/>
        </w:rPr>
        <w:footnoteReference w:id="8"/>
      </w:r>
      <w:r>
        <w:t>;</w:t>
      </w:r>
    </w:p>
    <w:p w:rsidR="00445746" w:rsidRDefault="002F24A6" w:rsidP="002F24A6">
      <w:pPr>
        <w:ind w:firstLine="284"/>
      </w:pPr>
      <w:r>
        <w:t>• new</w:t>
      </w:r>
      <w:r>
        <w:rPr>
          <w:rStyle w:val="FootnoteReference"/>
        </w:rPr>
        <w:footnoteReference w:id="9"/>
      </w:r>
      <w:r>
        <w:t>;</w:t>
      </w:r>
    </w:p>
    <w:p w:rsidR="00445746" w:rsidRDefault="00783E42" w:rsidP="00783E42">
      <w:pPr>
        <w:ind w:firstLine="284"/>
      </w:pPr>
      <w:r>
        <w:t>• changes</w:t>
      </w:r>
      <w:r>
        <w:rPr>
          <w:rStyle w:val="FootnoteReference"/>
        </w:rPr>
        <w:footnoteReference w:id="10"/>
      </w:r>
      <w:r>
        <w:t>;</w:t>
      </w:r>
    </w:p>
    <w:p w:rsidR="00445746" w:rsidRDefault="00783E42" w:rsidP="00783E42">
      <w:pPr>
        <w:ind w:firstLine="284"/>
      </w:pPr>
      <w:r>
        <w:t>• closed</w:t>
      </w:r>
      <w:r>
        <w:rPr>
          <w:rStyle w:val="FootnoteReference"/>
        </w:rPr>
        <w:footnoteReference w:id="11"/>
      </w:r>
      <w:r>
        <w:t>.</w:t>
      </w:r>
    </w:p>
    <w:p w:rsidR="00445746" w:rsidRDefault="00445746" w:rsidP="00AF3F74"/>
    <w:p w:rsidR="00445746" w:rsidRDefault="00445746" w:rsidP="00ED3BDC"/>
    <w:p w:rsidR="00445746" w:rsidRDefault="002B438D" w:rsidP="00ED3BDC">
      <w:pPr>
        <w:pStyle w:val="Heading1"/>
      </w:pPr>
      <w:r>
        <w:t>Bathing water quality</w:t>
      </w:r>
    </w:p>
    <w:p w:rsidR="00445746" w:rsidRDefault="00445746" w:rsidP="00ED3BDC"/>
    <w:p w:rsidR="00445746" w:rsidRDefault="002B438D" w:rsidP="00ED3BDC">
      <w:r>
        <w:t>The results of the bathing water quality in Slovenia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445746" w:rsidRDefault="00445746" w:rsidP="00ED3BDC"/>
    <w:p w:rsidR="00CF5B75" w:rsidRDefault="00CF5B75" w:rsidP="00ED3BDC"/>
    <w:p w:rsidR="00CF5B75" w:rsidRDefault="00CF5B75" w:rsidP="00ED3BDC"/>
    <w:p w:rsidR="00CF5B75" w:rsidRDefault="00CF5B75" w:rsidP="00ED3BDC"/>
    <w:p w:rsidR="00CF5B75" w:rsidRDefault="00CF5B75" w:rsidP="00ED3BDC"/>
    <w:p w:rsidR="00CF5B75" w:rsidRDefault="00CF5B75" w:rsidP="00ED3BDC"/>
    <w:p w:rsidR="00CF5B75" w:rsidRDefault="00CF5B75" w:rsidP="00ED3BDC"/>
    <w:p w:rsidR="00445746" w:rsidRDefault="002B438D" w:rsidP="00ED3BDC">
      <w:pPr>
        <w:pStyle w:val="Heading2"/>
      </w:pPr>
      <w:r>
        <w:lastRenderedPageBreak/>
        <w:t>Coastal bathing waters</w:t>
      </w:r>
    </w:p>
    <w:p w:rsidR="00445746" w:rsidRDefault="00445746" w:rsidP="00ED3BDC"/>
    <w:p w:rsidR="00445746" w:rsidRDefault="002B438D" w:rsidP="00ED3BDC">
      <w:r>
        <w:t xml:space="preserve">In Slovenia, all existing coastal bathing waters met </w:t>
      </w:r>
      <w:r w:rsidR="00CF5B75">
        <w:t>excellent</w:t>
      </w:r>
      <w:r>
        <w:t xml:space="preserve"> water quality standards in 2017. S</w:t>
      </w:r>
      <w:r w:rsidR="00CF5B75">
        <w:t>ee Appendix 1 for numeric data.</w:t>
      </w:r>
    </w:p>
    <w:p w:rsidR="00445746" w:rsidRDefault="00445746" w:rsidP="00ED3BDC"/>
    <w:p w:rsidR="00445746"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5746"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Slovenia. </w:t>
      </w:r>
      <w:r>
        <w:rPr>
          <w:b w:val="0"/>
        </w:rPr>
        <w:t>Note: the “At least sufficient” class also includes bathing waters of “Excellent” quality class, the sum of shares is therefore not 100%.</w:t>
      </w:r>
      <w:r>
        <w:t xml:space="preserve"> </w:t>
      </w:r>
    </w:p>
    <w:p w:rsidR="00445746" w:rsidRDefault="00445746" w:rsidP="00ED3BDC"/>
    <w:p w:rsidR="00445746" w:rsidRDefault="00445746" w:rsidP="00ED3BDC"/>
    <w:p w:rsidR="00445746" w:rsidRDefault="002B438D" w:rsidP="00ED3BDC">
      <w:pPr>
        <w:pStyle w:val="Heading2"/>
      </w:pPr>
      <w:r>
        <w:t>Inland bathing waters</w:t>
      </w:r>
    </w:p>
    <w:p w:rsidR="00445746" w:rsidRDefault="00445746" w:rsidP="00ED3BDC"/>
    <w:p w:rsidR="00445746" w:rsidRDefault="00CF5B75" w:rsidP="002318DD">
      <w:r>
        <w:t>A</w:t>
      </w:r>
      <w:r w:rsidR="007C239B">
        <w:t>ll existing inland bathing waters were of at least sufficient water quality in 2017. See Appendix 1 for numeric data.</w:t>
      </w:r>
      <w:bookmarkStart w:id="1" w:name="OLE_LINK19"/>
      <w:bookmarkStart w:id="2" w:name="OLE_LINK20"/>
      <w:r w:rsidR="007C239B">
        <w:t xml:space="preserve"> </w:t>
      </w:r>
    </w:p>
    <w:p w:rsidR="00445746" w:rsidRDefault="00445746" w:rsidP="002318DD"/>
    <w:p w:rsidR="00445746"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445746"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Slovenia. </w:t>
      </w:r>
      <w:r>
        <w:rPr>
          <w:b w:val="0"/>
        </w:rPr>
        <w:t>Note: the “At least sufficient” class also includes bathing waters of “Excellent” quality class, the sum of shares is therefore not 100%.</w:t>
      </w:r>
      <w:r>
        <w:t xml:space="preserve"> </w:t>
      </w:r>
    </w:p>
    <w:p w:rsidR="00445746" w:rsidRDefault="00445746" w:rsidP="00ED3BDC">
      <w:pPr>
        <w:pStyle w:val="Caption"/>
      </w:pPr>
    </w:p>
    <w:p w:rsidR="00445746" w:rsidRDefault="00445746" w:rsidP="00ED3BDC"/>
    <w:p w:rsidR="00445746" w:rsidRDefault="00445746" w:rsidP="00ED3BDC"/>
    <w:p w:rsidR="00445746"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445746" w:rsidRDefault="00445746" w:rsidP="00ED3BDC"/>
    <w:p w:rsidR="00CF5B75" w:rsidRDefault="00CF5B75" w:rsidP="00CF5B75">
      <w:r>
        <w:t>Management of bathing waters in Slovenia included publishing monitoring calendar before the season start, organising press conference, monitoring bathing waters throughout the season, assessing quality according to standards of public health institute, assessing overall quality after the season end, informing public online and on site as well as in press, giving advices for safe and healthy bathing to public.</w:t>
      </w:r>
    </w:p>
    <w:p w:rsidR="00CF5B75" w:rsidRDefault="00CF5B75" w:rsidP="00CF5B75"/>
    <w:p w:rsidR="00CF5B75" w:rsidRDefault="00CF5B75" w:rsidP="00CF5B75">
      <w:r>
        <w:t>In the bathing season 2017, one temporary closure – health risk warning was issued, at the bathing site of Vila Park Hotel. In order to ensure adequate bathing water quality, regular monitoring of the conditions in the area of bathing waters, adequate drainage and cleaning of municipal waste water and also measures that regulate the ban on fertilization at coastal land, determined by regulations in the field of water protection, are ensured.  Regular monitoring of the quality of bathing water showed extremely high measured bacterial values on 1st August 2017. On the basis of this finding appropriate management measures were implemented and information to the public was carried out.</w:t>
      </w:r>
    </w:p>
    <w:p w:rsidR="00CF5B75" w:rsidRDefault="00CF5B75" w:rsidP="00CF5B75"/>
    <w:p w:rsidR="00CF5B75" w:rsidRDefault="00CF5B75" w:rsidP="00CF5B75">
      <w:r>
        <w:t>The public was informed about the pollution of the bathing water and the prohibition of bathing on the beach of Vila Park Hotel via websites of the competent institutions (National Institute for public health; Ministry of the environment and spatial planning of Republic of Slovenia, Slovenian Environment Agency) and via the press. The manager of the site closed the bathing water and blocked the access. The bathers were also informed about the prohibition by lifeguards and security guards. A multi-language on-sight sign, a visual sign and a red flag - indicating that this bathing site is temporary closed for bathing - were also fixed.</w:t>
      </w:r>
    </w:p>
    <w:p w:rsidR="00CF5B75" w:rsidRDefault="00CF5B75" w:rsidP="00CF5B75"/>
    <w:p w:rsidR="00CF5B75" w:rsidRDefault="00CF5B75" w:rsidP="00CF5B75">
      <w:r>
        <w:t>With field inspection, the source of pollution was found. The pollution occurred due to a breakdown of a sewer pipe and consequent leakage of municipal waste water. The municipal waste water was melted into the terrain and then into the meteor shower, which ends in the immediate vicinity of the Vila Park Hotel. The repair of the damage was carried out and was completed on 4th August 2017 in the afternoon, followed by physical cleaning and rinsing of the meteor channel. Four illegal connections of the domestic faecal sewerage to the public sewage system were also detected and removed.</w:t>
      </w:r>
    </w:p>
    <w:p w:rsidR="00CF5B75" w:rsidRDefault="00CF5B75" w:rsidP="00CF5B75"/>
    <w:p w:rsidR="00CF5B75" w:rsidRDefault="00CF5B75" w:rsidP="00CF5B75">
      <w:r>
        <w:t>At the time of the ban, the quality of the water was followed daily on the beach of Hotel Vila Park, on the meteor shower and on two adjacent bathing sites. On both adjacent bathing sites, where daily microbiological quality control was also carried out, bathing water was always appropriate. On the corresponding results of two consecutive samples of water on the beach of Vila Park Hotel, on 7th August 2017 the prohibition was abolished. After the end of the ban, the quality of bathing water was monitored daily, until the end of August.</w:t>
      </w:r>
    </w:p>
    <w:p w:rsidR="00CF5B75" w:rsidRDefault="00CF5B75" w:rsidP="00CF5B75"/>
    <w:p w:rsidR="00445746" w:rsidRDefault="00CF5B75" w:rsidP="00CF5B75">
      <w:r>
        <w:t>The information on pollution remediation and abolishment of prohibition was published on the websites of the mentioned competent institutions. Press was also informed and the notifications were fixed at the bathing site.</w:t>
      </w:r>
    </w:p>
    <w:p w:rsidR="00CF5B75" w:rsidRDefault="00CF5B75" w:rsidP="00CF5B75"/>
    <w:p w:rsidR="00CF5B75" w:rsidRDefault="00CF5B75" w:rsidP="00CF5B75"/>
    <w:p w:rsidR="00CF5B75" w:rsidRDefault="00CF5B75" w:rsidP="00CF5B75"/>
    <w:p w:rsidR="00445746" w:rsidRDefault="00445746" w:rsidP="00ED3BDC"/>
    <w:p w:rsidR="00445746" w:rsidRDefault="0024729D" w:rsidP="00ED3BDC">
      <w:pPr>
        <w:pStyle w:val="Heading1"/>
      </w:pPr>
      <w:r>
        <w:lastRenderedPageBreak/>
        <w:t>Bathing water quality assessment presentation in online viewers</w:t>
      </w:r>
    </w:p>
    <w:p w:rsidR="00445746" w:rsidRDefault="00445746" w:rsidP="00ED3BDC"/>
    <w:p w:rsidR="00445746"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2" w:history="1">
        <w:r>
          <w:rPr>
            <w:rStyle w:val="Hyperlink"/>
          </w:rPr>
          <w:t>http://ec.europa.eu/environment/water/index_en.htm</w:t>
        </w:r>
      </w:hyperlink>
      <w:r>
        <w:t>.</w:t>
      </w:r>
    </w:p>
    <w:p w:rsidR="00445746" w:rsidRDefault="00445746" w:rsidP="00EC573D"/>
    <w:p w:rsidR="00445746" w:rsidRDefault="003E2BA0" w:rsidP="003E2BA0">
      <w:r>
        <w:t>The bathing water section of the Water Information System for Europe (WISE) which is accessible at the EEA bathing water website (</w:t>
      </w:r>
      <w:hyperlink r:id="rId13"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445746" w:rsidRDefault="002B438D" w:rsidP="003E2BA0">
      <w:r>
        <w:br w:type="page"/>
      </w:r>
    </w:p>
    <w:p w:rsidR="00445746" w:rsidRDefault="002B438D" w:rsidP="00ED3BDC">
      <w:pPr>
        <w:rPr>
          <w:b/>
          <w:sz w:val="28"/>
        </w:rPr>
      </w:pPr>
      <w:r>
        <w:rPr>
          <w:b/>
          <w:sz w:val="28"/>
        </w:rPr>
        <w:lastRenderedPageBreak/>
        <w:t>Appendix 1: Results of bathing water quality in Slovenia from 2014 to 2017</w:t>
      </w:r>
    </w:p>
    <w:p w:rsidR="00445746" w:rsidRDefault="00445746" w:rsidP="00ED3BDC"/>
    <w:p w:rsidR="00445746"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445746" w:rsidTr="005F5E3F">
        <w:tc>
          <w:tcPr>
            <w:tcW w:w="1276" w:type="dxa"/>
            <w:gridSpan w:val="2"/>
            <w:vMerge w:val="restart"/>
            <w:shd w:val="clear" w:color="auto" w:fill="F2F2F2" w:themeFill="background1" w:themeFillShade="F2"/>
          </w:tcPr>
          <w:p w:rsidR="00445746" w:rsidRDefault="00445746"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445746" w:rsidRDefault="005F5E3F" w:rsidP="00B853E1">
            <w:pPr>
              <w:jc w:val="center"/>
              <w:rPr>
                <w:rFonts w:asciiTheme="minorHAnsi" w:hAnsiTheme="minorHAnsi"/>
                <w:b/>
                <w:sz w:val="20"/>
                <w:szCs w:val="20"/>
              </w:rPr>
            </w:pPr>
            <w:r>
              <w:rPr>
                <w:rFonts w:asciiTheme="minorHAnsi" w:hAnsiTheme="minorHAnsi"/>
                <w:b/>
                <w:sz w:val="20"/>
                <w:szCs w:val="20"/>
              </w:rPr>
              <w:t>Total</w:t>
            </w:r>
          </w:p>
          <w:p w:rsidR="00445746" w:rsidRDefault="005F5E3F" w:rsidP="00B853E1">
            <w:pPr>
              <w:jc w:val="center"/>
              <w:rPr>
                <w:rFonts w:asciiTheme="minorHAnsi" w:hAnsiTheme="minorHAnsi"/>
                <w:b/>
                <w:sz w:val="20"/>
                <w:szCs w:val="20"/>
              </w:rPr>
            </w:pPr>
            <w:r>
              <w:rPr>
                <w:rFonts w:asciiTheme="minorHAnsi" w:hAnsiTheme="minorHAnsi"/>
                <w:b/>
                <w:sz w:val="20"/>
                <w:szCs w:val="20"/>
              </w:rPr>
              <w:t>number</w:t>
            </w:r>
          </w:p>
          <w:p w:rsidR="00445746" w:rsidRDefault="005F5E3F" w:rsidP="00B853E1">
            <w:pPr>
              <w:jc w:val="center"/>
              <w:rPr>
                <w:rFonts w:asciiTheme="minorHAnsi" w:hAnsiTheme="minorHAnsi"/>
                <w:b/>
                <w:sz w:val="20"/>
                <w:szCs w:val="20"/>
              </w:rPr>
            </w:pPr>
            <w:r>
              <w:rPr>
                <w:rFonts w:asciiTheme="minorHAnsi" w:hAnsiTheme="minorHAnsi"/>
                <w:b/>
                <w:sz w:val="20"/>
                <w:szCs w:val="20"/>
              </w:rPr>
              <w:t>of</w:t>
            </w:r>
          </w:p>
          <w:p w:rsidR="00445746" w:rsidRDefault="005F5E3F" w:rsidP="00B853E1">
            <w:pPr>
              <w:jc w:val="center"/>
              <w:rPr>
                <w:rFonts w:asciiTheme="minorHAnsi" w:hAnsiTheme="minorHAnsi"/>
                <w:b/>
                <w:sz w:val="20"/>
                <w:szCs w:val="20"/>
              </w:rPr>
            </w:pPr>
            <w:r>
              <w:rPr>
                <w:rFonts w:asciiTheme="minorHAnsi" w:hAnsiTheme="minorHAnsi"/>
                <w:b/>
                <w:sz w:val="20"/>
                <w:szCs w:val="20"/>
              </w:rPr>
              <w:t>bathing</w:t>
            </w:r>
          </w:p>
          <w:p w:rsidR="00445746"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445746"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445746" w:rsidRDefault="005F5E3F" w:rsidP="00B853E1">
            <w:pPr>
              <w:jc w:val="center"/>
              <w:rPr>
                <w:rFonts w:asciiTheme="minorHAnsi" w:hAnsiTheme="minorHAnsi"/>
                <w:b/>
                <w:sz w:val="20"/>
                <w:szCs w:val="20"/>
              </w:rPr>
            </w:pPr>
            <w:r>
              <w:rPr>
                <w:rFonts w:asciiTheme="minorHAnsi" w:hAnsiTheme="minorHAnsi"/>
                <w:b/>
                <w:sz w:val="20"/>
                <w:szCs w:val="20"/>
              </w:rPr>
              <w:t>At least</w:t>
            </w:r>
          </w:p>
          <w:p w:rsidR="00445746" w:rsidRDefault="005F5E3F" w:rsidP="00B853E1">
            <w:pPr>
              <w:jc w:val="center"/>
              <w:rPr>
                <w:rFonts w:asciiTheme="minorHAnsi" w:hAnsiTheme="minorHAnsi"/>
                <w:b/>
                <w:sz w:val="20"/>
                <w:szCs w:val="20"/>
              </w:rPr>
            </w:pPr>
            <w:r>
              <w:rPr>
                <w:rFonts w:asciiTheme="minorHAnsi" w:hAnsiTheme="minorHAnsi"/>
                <w:b/>
                <w:sz w:val="20"/>
                <w:szCs w:val="20"/>
              </w:rPr>
              <w:t>sufficient</w:t>
            </w:r>
          </w:p>
          <w:p w:rsidR="00445746"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445746"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445746" w:rsidRDefault="005F5E3F" w:rsidP="00B853E1">
            <w:pPr>
              <w:jc w:val="center"/>
              <w:rPr>
                <w:rFonts w:asciiTheme="minorHAnsi" w:hAnsiTheme="minorHAnsi"/>
                <w:b/>
                <w:sz w:val="20"/>
                <w:szCs w:val="20"/>
              </w:rPr>
            </w:pPr>
            <w:r>
              <w:rPr>
                <w:rFonts w:asciiTheme="minorHAnsi" w:hAnsiTheme="minorHAnsi"/>
                <w:b/>
                <w:sz w:val="20"/>
                <w:szCs w:val="20"/>
              </w:rPr>
              <w:t>Quality</w:t>
            </w:r>
          </w:p>
          <w:p w:rsidR="00445746"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445746"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445746"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445746" w:rsidRDefault="005F5E3F" w:rsidP="00B853E1">
            <w:pPr>
              <w:jc w:val="center"/>
              <w:rPr>
                <w:rFonts w:asciiTheme="minorHAnsi" w:hAnsiTheme="minorHAnsi"/>
                <w:b/>
                <w:sz w:val="20"/>
                <w:szCs w:val="20"/>
              </w:rPr>
            </w:pPr>
            <w:r>
              <w:rPr>
                <w:rFonts w:asciiTheme="minorHAnsi" w:hAnsiTheme="minorHAnsi"/>
                <w:b/>
                <w:sz w:val="20"/>
                <w:szCs w:val="20"/>
              </w:rPr>
              <w:t>/new bathing</w:t>
            </w:r>
          </w:p>
          <w:p w:rsidR="00445746" w:rsidRDefault="005F5E3F" w:rsidP="00B853E1">
            <w:pPr>
              <w:jc w:val="center"/>
              <w:rPr>
                <w:rFonts w:asciiTheme="minorHAnsi" w:hAnsiTheme="minorHAnsi"/>
                <w:b/>
                <w:sz w:val="20"/>
                <w:szCs w:val="20"/>
              </w:rPr>
            </w:pPr>
            <w:r>
              <w:rPr>
                <w:rFonts w:asciiTheme="minorHAnsi" w:hAnsiTheme="minorHAnsi"/>
                <w:b/>
                <w:sz w:val="20"/>
                <w:szCs w:val="20"/>
              </w:rPr>
              <w:t>waters/bathing</w:t>
            </w:r>
          </w:p>
          <w:p w:rsidR="00445746"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445746" w:rsidTr="005F5E3F">
        <w:tc>
          <w:tcPr>
            <w:tcW w:w="1276" w:type="dxa"/>
            <w:gridSpan w:val="2"/>
            <w:vMerge/>
            <w:tcBorders>
              <w:bottom w:val="single" w:sz="4" w:space="0" w:color="808080" w:themeColor="background1" w:themeShade="80"/>
            </w:tcBorders>
            <w:shd w:val="clear" w:color="auto" w:fill="F2F2F2" w:themeFill="background1" w:themeFillShade="F2"/>
          </w:tcPr>
          <w:p w:rsidR="00445746" w:rsidRDefault="00445746"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445746" w:rsidRDefault="00445746"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445746"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445746"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445746"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445746"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445746"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445746"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445746"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445746" w:rsidRDefault="005F5E3F" w:rsidP="00430B97">
            <w:pPr>
              <w:jc w:val="center"/>
              <w:rPr>
                <w:rFonts w:asciiTheme="minorHAnsi" w:hAnsiTheme="minorHAnsi"/>
                <w:b/>
                <w:sz w:val="20"/>
                <w:szCs w:val="20"/>
              </w:rPr>
            </w:pPr>
            <w:r>
              <w:rPr>
                <w:rFonts w:asciiTheme="minorHAnsi" w:hAnsiTheme="minorHAnsi"/>
                <w:b/>
                <w:sz w:val="20"/>
                <w:szCs w:val="20"/>
              </w:rPr>
              <w:t>%</w:t>
            </w:r>
          </w:p>
        </w:tc>
      </w:tr>
      <w:tr w:rsidR="00445746"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445746" w:rsidRDefault="005F5E3F" w:rsidP="00CF5B75">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39"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04"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9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r>
      <w:tr w:rsidR="00445746"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45746" w:rsidRDefault="005F5E3F" w:rsidP="005C19AE">
            <w:pPr>
              <w:jc w:val="center"/>
              <w:rPr>
                <w:rFonts w:asciiTheme="minorHAnsi" w:hAnsiTheme="minorHAnsi"/>
                <w:sz w:val="20"/>
                <w:szCs w:val="20"/>
              </w:rPr>
            </w:pPr>
            <w:r>
              <w:rPr>
                <w:rFonts w:asciiTheme="minorHAnsi" w:hAnsiTheme="minorHAnsi"/>
                <w:sz w:val="20"/>
                <w:szCs w:val="20"/>
              </w:rPr>
              <w:t>Coastal</w:t>
            </w:r>
          </w:p>
          <w:p w:rsidR="00445746" w:rsidRDefault="00445746"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39"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04"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9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r>
      <w:tr w:rsidR="00445746"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45746" w:rsidRDefault="005F5E3F" w:rsidP="005C19AE">
            <w:pPr>
              <w:jc w:val="center"/>
              <w:rPr>
                <w:rFonts w:asciiTheme="minorHAnsi" w:hAnsiTheme="minorHAnsi"/>
                <w:sz w:val="20"/>
                <w:szCs w:val="20"/>
              </w:rPr>
            </w:pPr>
            <w:r>
              <w:rPr>
                <w:rFonts w:asciiTheme="minorHAnsi" w:hAnsiTheme="minorHAnsi"/>
                <w:sz w:val="20"/>
                <w:szCs w:val="20"/>
              </w:rPr>
              <w:t>Coastal</w:t>
            </w:r>
          </w:p>
          <w:p w:rsidR="00445746" w:rsidRDefault="00445746"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39"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04"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9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r>
      <w:tr w:rsidR="00445746"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45746" w:rsidRDefault="005F5E3F" w:rsidP="005C19AE">
            <w:pPr>
              <w:jc w:val="center"/>
              <w:rPr>
                <w:rFonts w:asciiTheme="minorHAnsi" w:hAnsiTheme="minorHAnsi"/>
                <w:sz w:val="20"/>
                <w:szCs w:val="20"/>
              </w:rPr>
            </w:pPr>
            <w:r>
              <w:rPr>
                <w:rFonts w:asciiTheme="minorHAnsi" w:hAnsiTheme="minorHAnsi"/>
                <w:sz w:val="20"/>
                <w:szCs w:val="20"/>
              </w:rPr>
              <w:t>Coastal</w:t>
            </w:r>
          </w:p>
          <w:p w:rsidR="00445746" w:rsidRDefault="00445746"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39"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04"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21</w:t>
            </w:r>
          </w:p>
        </w:tc>
        <w:tc>
          <w:tcPr>
            <w:tcW w:w="99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r>
      <w:tr w:rsidR="00445746"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445746" w:rsidRDefault="005F5E3F" w:rsidP="00CF5B75">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26</w:t>
            </w:r>
          </w:p>
        </w:tc>
        <w:tc>
          <w:tcPr>
            <w:tcW w:w="939"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11</w:t>
            </w:r>
          </w:p>
        </w:tc>
        <w:tc>
          <w:tcPr>
            <w:tcW w:w="904"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42.3</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26</w:t>
            </w:r>
          </w:p>
        </w:tc>
        <w:tc>
          <w:tcPr>
            <w:tcW w:w="99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r>
      <w:tr w:rsidR="00445746"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45746"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445746" w:rsidRDefault="00445746"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26</w:t>
            </w:r>
          </w:p>
        </w:tc>
        <w:tc>
          <w:tcPr>
            <w:tcW w:w="939"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12</w:t>
            </w:r>
          </w:p>
        </w:tc>
        <w:tc>
          <w:tcPr>
            <w:tcW w:w="904"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46.2</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26</w:t>
            </w:r>
          </w:p>
        </w:tc>
        <w:tc>
          <w:tcPr>
            <w:tcW w:w="99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r>
      <w:tr w:rsidR="00445746"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45746"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445746" w:rsidRDefault="00445746"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26</w:t>
            </w:r>
          </w:p>
        </w:tc>
        <w:tc>
          <w:tcPr>
            <w:tcW w:w="939"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14</w:t>
            </w:r>
          </w:p>
        </w:tc>
        <w:tc>
          <w:tcPr>
            <w:tcW w:w="904"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53.8</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26</w:t>
            </w:r>
          </w:p>
        </w:tc>
        <w:tc>
          <w:tcPr>
            <w:tcW w:w="99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r>
      <w:tr w:rsidR="00445746"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445746"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445746" w:rsidRDefault="00445746"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26</w:t>
            </w:r>
          </w:p>
        </w:tc>
        <w:tc>
          <w:tcPr>
            <w:tcW w:w="939"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14</w:t>
            </w:r>
          </w:p>
        </w:tc>
        <w:tc>
          <w:tcPr>
            <w:tcW w:w="904"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53.8</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26</w:t>
            </w:r>
          </w:p>
        </w:tc>
        <w:tc>
          <w:tcPr>
            <w:tcW w:w="99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100.0</w:t>
            </w:r>
          </w:p>
        </w:tc>
        <w:tc>
          <w:tcPr>
            <w:tcW w:w="992"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w:t>
            </w:r>
          </w:p>
        </w:tc>
        <w:tc>
          <w:tcPr>
            <w:tcW w:w="940" w:type="dxa"/>
            <w:tcBorders>
              <w:top w:val="single" w:sz="4" w:space="0" w:color="808080" w:themeColor="background1" w:themeShade="80"/>
              <w:bottom w:val="single" w:sz="4" w:space="0" w:color="808080" w:themeColor="background1" w:themeShade="80"/>
            </w:tcBorders>
            <w:vAlign w:val="center"/>
          </w:tcPr>
          <w:p w:rsidR="00445746" w:rsidRDefault="005F5E3F" w:rsidP="002E7263">
            <w:pPr>
              <w:jc w:val="right"/>
              <w:rPr>
                <w:rFonts w:asciiTheme="minorHAnsi" w:hAnsiTheme="minorHAnsi"/>
                <w:sz w:val="20"/>
                <w:szCs w:val="20"/>
              </w:rPr>
            </w:pPr>
            <w:r>
              <w:rPr>
                <w:rFonts w:asciiTheme="minorHAnsi" w:hAnsiTheme="minorHAnsi"/>
                <w:sz w:val="20"/>
                <w:szCs w:val="20"/>
              </w:rPr>
              <w:t>0.0</w:t>
            </w:r>
          </w:p>
        </w:tc>
      </w:tr>
      <w:tr w:rsidR="00445746" w:rsidTr="005F5E3F">
        <w:trPr>
          <w:cantSplit/>
          <w:trHeight w:val="425"/>
        </w:trPr>
        <w:tc>
          <w:tcPr>
            <w:tcW w:w="426" w:type="dxa"/>
            <w:vMerge w:val="restart"/>
            <w:tcBorders>
              <w:top w:val="single" w:sz="4" w:space="0" w:color="808080" w:themeColor="background1" w:themeShade="80"/>
            </w:tcBorders>
            <w:textDirection w:val="btLr"/>
            <w:vAlign w:val="center"/>
          </w:tcPr>
          <w:p w:rsidR="00445746" w:rsidRDefault="005F5E3F" w:rsidP="00CF5B75">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47</w:t>
            </w:r>
          </w:p>
        </w:tc>
        <w:tc>
          <w:tcPr>
            <w:tcW w:w="939"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32</w:t>
            </w:r>
          </w:p>
        </w:tc>
        <w:tc>
          <w:tcPr>
            <w:tcW w:w="904"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68.1</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47</w:t>
            </w:r>
          </w:p>
        </w:tc>
        <w:tc>
          <w:tcPr>
            <w:tcW w:w="993"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0.0</w:t>
            </w:r>
          </w:p>
        </w:tc>
      </w:tr>
      <w:tr w:rsidR="00445746" w:rsidTr="005F5E3F">
        <w:trPr>
          <w:cantSplit/>
          <w:trHeight w:val="425"/>
        </w:trPr>
        <w:tc>
          <w:tcPr>
            <w:tcW w:w="426" w:type="dxa"/>
            <w:vMerge/>
            <w:tcBorders>
              <w:top w:val="single" w:sz="4" w:space="0" w:color="808080" w:themeColor="background1" w:themeShade="80"/>
            </w:tcBorders>
            <w:textDirection w:val="btLr"/>
            <w:vAlign w:val="center"/>
          </w:tcPr>
          <w:p w:rsidR="00445746"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445746" w:rsidRDefault="00445746"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47</w:t>
            </w:r>
          </w:p>
        </w:tc>
        <w:tc>
          <w:tcPr>
            <w:tcW w:w="939"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33</w:t>
            </w:r>
          </w:p>
        </w:tc>
        <w:tc>
          <w:tcPr>
            <w:tcW w:w="904"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70.2</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47</w:t>
            </w:r>
          </w:p>
        </w:tc>
        <w:tc>
          <w:tcPr>
            <w:tcW w:w="993"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0.0</w:t>
            </w:r>
          </w:p>
        </w:tc>
      </w:tr>
      <w:tr w:rsidR="00445746" w:rsidTr="005F5E3F">
        <w:trPr>
          <w:cantSplit/>
          <w:trHeight w:val="425"/>
        </w:trPr>
        <w:tc>
          <w:tcPr>
            <w:tcW w:w="426" w:type="dxa"/>
            <w:vMerge/>
            <w:tcBorders>
              <w:top w:val="single" w:sz="4" w:space="0" w:color="808080" w:themeColor="background1" w:themeShade="80"/>
            </w:tcBorders>
            <w:textDirection w:val="btLr"/>
            <w:vAlign w:val="center"/>
          </w:tcPr>
          <w:p w:rsidR="00445746"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445746" w:rsidRDefault="00445746"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47</w:t>
            </w:r>
          </w:p>
        </w:tc>
        <w:tc>
          <w:tcPr>
            <w:tcW w:w="939"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35</w:t>
            </w:r>
          </w:p>
        </w:tc>
        <w:tc>
          <w:tcPr>
            <w:tcW w:w="904"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74.5</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47</w:t>
            </w:r>
          </w:p>
        </w:tc>
        <w:tc>
          <w:tcPr>
            <w:tcW w:w="993"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0.0</w:t>
            </w:r>
          </w:p>
        </w:tc>
      </w:tr>
      <w:tr w:rsidR="00445746" w:rsidTr="005F5E3F">
        <w:trPr>
          <w:cantSplit/>
          <w:trHeight w:val="425"/>
        </w:trPr>
        <w:tc>
          <w:tcPr>
            <w:tcW w:w="426" w:type="dxa"/>
            <w:vMerge/>
            <w:tcBorders>
              <w:top w:val="single" w:sz="4" w:space="0" w:color="808080" w:themeColor="background1" w:themeShade="80"/>
            </w:tcBorders>
            <w:textDirection w:val="btLr"/>
            <w:vAlign w:val="center"/>
          </w:tcPr>
          <w:p w:rsidR="00445746"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445746" w:rsidRDefault="00445746"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47</w:t>
            </w:r>
          </w:p>
        </w:tc>
        <w:tc>
          <w:tcPr>
            <w:tcW w:w="939"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35</w:t>
            </w:r>
          </w:p>
        </w:tc>
        <w:tc>
          <w:tcPr>
            <w:tcW w:w="904"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74.5</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47</w:t>
            </w:r>
          </w:p>
        </w:tc>
        <w:tc>
          <w:tcPr>
            <w:tcW w:w="993"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100.0</w:t>
            </w:r>
          </w:p>
        </w:tc>
        <w:tc>
          <w:tcPr>
            <w:tcW w:w="992"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w:t>
            </w:r>
          </w:p>
        </w:tc>
        <w:tc>
          <w:tcPr>
            <w:tcW w:w="940" w:type="dxa"/>
            <w:tcBorders>
              <w:top w:val="single" w:sz="4" w:space="0" w:color="808080" w:themeColor="background1" w:themeShade="80"/>
            </w:tcBorders>
            <w:vAlign w:val="center"/>
          </w:tcPr>
          <w:p w:rsidR="00445746" w:rsidRDefault="005F5E3F" w:rsidP="002E7263">
            <w:pPr>
              <w:jc w:val="right"/>
              <w:rPr>
                <w:rFonts w:asciiTheme="minorHAnsi" w:hAnsiTheme="minorHAnsi"/>
                <w:b/>
                <w:sz w:val="20"/>
                <w:szCs w:val="20"/>
              </w:rPr>
            </w:pPr>
            <w:r>
              <w:rPr>
                <w:rFonts w:asciiTheme="minorHAnsi" w:hAnsiTheme="minorHAnsi"/>
                <w:b/>
                <w:sz w:val="20"/>
                <w:szCs w:val="20"/>
              </w:rPr>
              <w:t>0.0</w:t>
            </w:r>
          </w:p>
        </w:tc>
      </w:tr>
    </w:tbl>
    <w:p w:rsidR="00445746"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445746" w:rsidRDefault="002B438D" w:rsidP="00ED3BDC">
      <w:r>
        <w:br w:type="page"/>
      </w:r>
    </w:p>
    <w:p w:rsidR="00445746" w:rsidRDefault="002B438D" w:rsidP="00ED3BDC">
      <w:pPr>
        <w:rPr>
          <w:b/>
          <w:sz w:val="28"/>
        </w:rPr>
      </w:pPr>
      <w:r>
        <w:rPr>
          <w:b/>
          <w:sz w:val="28"/>
        </w:rPr>
        <w:lastRenderedPageBreak/>
        <w:t>Appendix 2: Bat</w:t>
      </w:r>
      <w:bookmarkStart w:id="6" w:name="_GoBack"/>
      <w:bookmarkEnd w:id="6"/>
      <w:r>
        <w:rPr>
          <w:b/>
          <w:sz w:val="28"/>
        </w:rPr>
        <w:t>hing water quality map</w:t>
      </w:r>
    </w:p>
    <w:p w:rsidR="00445746" w:rsidRDefault="00445746" w:rsidP="00ED3BDC"/>
    <w:p w:rsidR="00445746" w:rsidRDefault="00CF5B75" w:rsidP="00ED3BDC">
      <w:r>
        <w:rPr>
          <w:noProof/>
          <w:lang w:eastAsia="en-GB"/>
        </w:rPr>
        <w:drawing>
          <wp:inline distT="0" distB="0" distL="0" distR="0">
            <wp:extent cx="6188710" cy="8008919"/>
            <wp:effectExtent l="0" t="0" r="2540" b="0"/>
            <wp:docPr id="4" name="Picture 4" descr="D:\Projekti\BWD\BWD 2017\National reports\GIS\map\NationalReports\PNG\20180420\SI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SI_20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445746" w:rsidSect="00344240">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FA" w:rsidRDefault="00DF1DFA" w:rsidP="00ED3BDC">
      <w:r>
        <w:separator/>
      </w:r>
    </w:p>
  </w:endnote>
  <w:endnote w:type="continuationSeparator" w:id="0">
    <w:p w:rsidR="00DF1DFA" w:rsidRDefault="00DF1DFA" w:rsidP="00ED3BDC">
      <w:r>
        <w:continuationSeparator/>
      </w:r>
    </w:p>
  </w:endnote>
  <w:endnote w:type="continuationNotice" w:id="1">
    <w:p w:rsidR="00DF1DFA" w:rsidRDefault="00DF1DFA"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46" w:rsidRDefault="00445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46" w:rsidRDefault="004457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46" w:rsidRDefault="00445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FA" w:rsidRDefault="00DF1DFA" w:rsidP="00ED3BDC">
      <w:r>
        <w:separator/>
      </w:r>
    </w:p>
  </w:footnote>
  <w:footnote w:type="continuationSeparator" w:id="0">
    <w:p w:rsidR="00DF1DFA" w:rsidRDefault="00DF1DFA" w:rsidP="00ED3BDC">
      <w:r>
        <w:continuationSeparator/>
      </w:r>
    </w:p>
  </w:footnote>
  <w:footnote w:type="continuationNotice" w:id="1">
    <w:p w:rsidR="00DF1DFA" w:rsidRDefault="00DF1DFA"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46" w:rsidRDefault="004457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46" w:rsidRDefault="004457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46"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45746"/>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5B75"/>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1DFA"/>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ea.europa.eu/themes/water/interactive/bathing/state-of-bathing-wat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europa.eu/environment/water/index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mop.gov.si/si/delovna_podrocja/voda/kopalne_vode/"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Feuil1!$B$2:$B$15</c:f>
              <c:numCache>
                <c:formatCode>General</c:formatCode>
                <c:ptCount val="14"/>
                <c:pt idx="0">
                  <c:v>0.78949999999999998</c:v>
                </c:pt>
                <c:pt idx="1">
                  <c:v>0.84209999999999996</c:v>
                </c:pt>
                <c:pt idx="2">
                  <c:v>0.84209999999999996</c:v>
                </c:pt>
                <c:pt idx="3">
                  <c:v>0.68420000000000003</c:v>
                </c:pt>
                <c:pt idx="4">
                  <c:v>0.94740000000000002</c:v>
                </c:pt>
                <c:pt idx="5">
                  <c:v>1</c:v>
                </c:pt>
                <c:pt idx="6">
                  <c:v>1</c:v>
                </c:pt>
                <c:pt idx="7">
                  <c:v>0.95240000000000002</c:v>
                </c:pt>
                <c:pt idx="8">
                  <c:v>1</c:v>
                </c:pt>
                <c:pt idx="9">
                  <c:v>1</c:v>
                </c:pt>
                <c:pt idx="10">
                  <c:v>1</c:v>
                </c:pt>
                <c:pt idx="11">
                  <c:v>1</c:v>
                </c:pt>
                <c:pt idx="12">
                  <c:v>1</c:v>
                </c:pt>
                <c:pt idx="13">
                  <c:v>1</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Feuil1!$C$2:$C$15</c:f>
              <c:numCache>
                <c:formatCode>General</c:formatCode>
                <c:ptCount val="14"/>
                <c:pt idx="0">
                  <c:v>0.89470000000000005</c:v>
                </c:pt>
                <c:pt idx="1">
                  <c:v>0.94740000000000002</c:v>
                </c:pt>
                <c:pt idx="2">
                  <c:v>1</c:v>
                </c:pt>
                <c:pt idx="3">
                  <c:v>0.68420000000000003</c:v>
                </c:pt>
                <c:pt idx="4">
                  <c:v>0.94740000000000002</c:v>
                </c:pt>
                <c:pt idx="5">
                  <c:v>1</c:v>
                </c:pt>
                <c:pt idx="6">
                  <c:v>1</c:v>
                </c:pt>
                <c:pt idx="7">
                  <c:v>1</c:v>
                </c:pt>
                <c:pt idx="8">
                  <c:v>1</c:v>
                </c:pt>
                <c:pt idx="9">
                  <c:v>1</c:v>
                </c:pt>
                <c:pt idx="10">
                  <c:v>1</c:v>
                </c:pt>
                <c:pt idx="11">
                  <c:v>1</c:v>
                </c:pt>
                <c:pt idx="12">
                  <c:v>1</c:v>
                </c:pt>
                <c:pt idx="13">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Feuil1!$D$2:$D$15</c:f>
              <c:numCache>
                <c:formatCode>General</c:formatCode>
                <c:ptCount val="14"/>
                <c:pt idx="0">
                  <c:v>0.1053</c:v>
                </c:pt>
                <c:pt idx="1">
                  <c:v>5.2600000000000001E-2</c:v>
                </c:pt>
                <c:pt idx="2">
                  <c:v>0</c:v>
                </c:pt>
                <c:pt idx="3">
                  <c:v>0.31580000000000003</c:v>
                </c:pt>
                <c:pt idx="4">
                  <c:v>5.2600000000000001E-2</c:v>
                </c:pt>
                <c:pt idx="5">
                  <c:v>0</c:v>
                </c:pt>
                <c:pt idx="6">
                  <c:v>0</c:v>
                </c:pt>
                <c:pt idx="7">
                  <c:v>0</c:v>
                </c:pt>
                <c:pt idx="8">
                  <c:v>0</c:v>
                </c:pt>
                <c:pt idx="9">
                  <c:v>0</c:v>
                </c:pt>
                <c:pt idx="10">
                  <c:v>0</c:v>
                </c:pt>
                <c:pt idx="11">
                  <c:v>0</c:v>
                </c:pt>
                <c:pt idx="12">
                  <c:v>0</c:v>
                </c:pt>
                <c:pt idx="13">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Feuil1!$E$2:$E$15</c:f>
              <c:numCache>
                <c:formatCode>General</c:formatCode>
                <c:ptCount val="14"/>
                <c:pt idx="0">
                  <c:v>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mooth val="0"/>
        </c:ser>
        <c:dLbls>
          <c:showLegendKey val="0"/>
          <c:showVal val="0"/>
          <c:showCatName val="0"/>
          <c:showSerName val="0"/>
          <c:showPercent val="0"/>
          <c:showBubbleSize val="0"/>
        </c:dLbls>
        <c:marker val="1"/>
        <c:smooth val="0"/>
        <c:axId val="172541056"/>
        <c:axId val="172542592"/>
      </c:lineChart>
      <c:catAx>
        <c:axId val="172541056"/>
        <c:scaling>
          <c:orientation val="minMax"/>
        </c:scaling>
        <c:delete val="0"/>
        <c:axPos val="b"/>
        <c:numFmt formatCode="@" sourceLinked="0"/>
        <c:majorTickMark val="out"/>
        <c:minorTickMark val="none"/>
        <c:tickLblPos val="nextTo"/>
        <c:crossAx val="172542592"/>
        <c:crosses val="autoZero"/>
        <c:auto val="1"/>
        <c:lblAlgn val="ctr"/>
        <c:lblOffset val="100"/>
        <c:noMultiLvlLbl val="0"/>
      </c:catAx>
      <c:valAx>
        <c:axId val="17254259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2541056"/>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Feuil1!$B$2:$B$15</c:f>
              <c:numCache>
                <c:formatCode>General</c:formatCode>
                <c:ptCount val="14"/>
                <c:pt idx="0">
                  <c:v>0.27779999999999999</c:v>
                </c:pt>
                <c:pt idx="1">
                  <c:v>0.38890000000000002</c:v>
                </c:pt>
                <c:pt idx="2">
                  <c:v>0.44440000000000002</c:v>
                </c:pt>
                <c:pt idx="3">
                  <c:v>0.33329999999999999</c:v>
                </c:pt>
                <c:pt idx="4">
                  <c:v>0.44440000000000002</c:v>
                </c:pt>
                <c:pt idx="5">
                  <c:v>0.36</c:v>
                </c:pt>
                <c:pt idx="6">
                  <c:v>0.56000000000000005</c:v>
                </c:pt>
                <c:pt idx="7">
                  <c:v>0.5</c:v>
                </c:pt>
                <c:pt idx="8">
                  <c:v>0.34620000000000001</c:v>
                </c:pt>
                <c:pt idx="9">
                  <c:v>0.53849999999999998</c:v>
                </c:pt>
                <c:pt idx="10">
                  <c:v>0.42309999999999998</c:v>
                </c:pt>
                <c:pt idx="11">
                  <c:v>0.46150000000000002</c:v>
                </c:pt>
                <c:pt idx="12">
                  <c:v>0.53849999999999998</c:v>
                </c:pt>
                <c:pt idx="13">
                  <c:v>0.53849999999999998</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Feuil1!$C$2:$C$15</c:f>
              <c:numCache>
                <c:formatCode>General</c:formatCode>
                <c:ptCount val="14"/>
                <c:pt idx="0">
                  <c:v>0.55559999999999998</c:v>
                </c:pt>
                <c:pt idx="1">
                  <c:v>0.5</c:v>
                </c:pt>
                <c:pt idx="2">
                  <c:v>0.83330000000000004</c:v>
                </c:pt>
                <c:pt idx="3">
                  <c:v>0.88890000000000002</c:v>
                </c:pt>
                <c:pt idx="4">
                  <c:v>0.72219999999999995</c:v>
                </c:pt>
                <c:pt idx="5">
                  <c:v>0.96</c:v>
                </c:pt>
                <c:pt idx="6">
                  <c:v>1</c:v>
                </c:pt>
                <c:pt idx="7">
                  <c:v>1</c:v>
                </c:pt>
                <c:pt idx="8">
                  <c:v>1</c:v>
                </c:pt>
                <c:pt idx="9">
                  <c:v>1</c:v>
                </c:pt>
                <c:pt idx="10">
                  <c:v>1</c:v>
                </c:pt>
                <c:pt idx="11">
                  <c:v>1</c:v>
                </c:pt>
                <c:pt idx="12">
                  <c:v>1</c:v>
                </c:pt>
                <c:pt idx="13">
                  <c:v>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Feuil1!$D$2:$D$15</c:f>
              <c:numCache>
                <c:formatCode>General</c:formatCode>
                <c:ptCount val="14"/>
                <c:pt idx="0">
                  <c:v>0.38890000000000002</c:v>
                </c:pt>
                <c:pt idx="1">
                  <c:v>0.5</c:v>
                </c:pt>
                <c:pt idx="2">
                  <c:v>0.16669999999999999</c:v>
                </c:pt>
                <c:pt idx="3">
                  <c:v>0.1111</c:v>
                </c:pt>
                <c:pt idx="4">
                  <c:v>0.27779999999999999</c:v>
                </c:pt>
                <c:pt idx="5">
                  <c:v>0.04</c:v>
                </c:pt>
                <c:pt idx="6">
                  <c:v>0</c:v>
                </c:pt>
                <c:pt idx="7">
                  <c:v>0</c:v>
                </c:pt>
                <c:pt idx="8">
                  <c:v>0</c:v>
                </c:pt>
                <c:pt idx="9">
                  <c:v>0</c:v>
                </c:pt>
                <c:pt idx="10">
                  <c:v>0</c:v>
                </c:pt>
                <c:pt idx="11">
                  <c:v>0</c:v>
                </c:pt>
                <c:pt idx="12">
                  <c:v>0</c:v>
                </c:pt>
                <c:pt idx="13">
                  <c:v>0</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Feuil1!$E$2:$E$15</c:f>
              <c:numCache>
                <c:formatCode>General</c:formatCode>
                <c:ptCount val="14"/>
                <c:pt idx="0">
                  <c:v>5.5599999999999997E-2</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smooth val="0"/>
        </c:ser>
        <c:dLbls>
          <c:showLegendKey val="0"/>
          <c:showVal val="0"/>
          <c:showCatName val="0"/>
          <c:showSerName val="0"/>
          <c:showPercent val="0"/>
          <c:showBubbleSize val="0"/>
        </c:dLbls>
        <c:marker val="1"/>
        <c:smooth val="0"/>
        <c:axId val="174932736"/>
        <c:axId val="174934272"/>
      </c:lineChart>
      <c:catAx>
        <c:axId val="174932736"/>
        <c:scaling>
          <c:orientation val="minMax"/>
        </c:scaling>
        <c:delete val="0"/>
        <c:axPos val="b"/>
        <c:numFmt formatCode="@" sourceLinked="0"/>
        <c:majorTickMark val="out"/>
        <c:minorTickMark val="none"/>
        <c:tickLblPos val="nextTo"/>
        <c:crossAx val="174934272"/>
        <c:crosses val="autoZero"/>
        <c:auto val="1"/>
        <c:lblAlgn val="ctr"/>
        <c:lblOffset val="100"/>
        <c:noMultiLvlLbl val="0"/>
      </c:catAx>
      <c:valAx>
        <c:axId val="174934272"/>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4932736"/>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3E5F-B118-4C31-969B-1574DD56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8</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2018-04-25T16:26:00Z</dcterms:modified>
</cp:coreProperties>
</file>