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4" w:rsidRDefault="00910BD4" w:rsidP="00ED3BDC"/>
    <w:p w:rsidR="00910BD4" w:rsidRDefault="00E95009" w:rsidP="00B67D96">
      <w:pPr>
        <w:jc w:val="center"/>
        <w:rPr>
          <w:rFonts w:cs="Arial"/>
          <w:b/>
          <w:bCs/>
          <w:sz w:val="32"/>
        </w:rPr>
      </w:pPr>
      <w:r>
        <w:rPr>
          <w:b/>
          <w:sz w:val="32"/>
        </w:rPr>
        <w:t xml:space="preserve">BWD Report For the Bathing Season </w:t>
      </w:r>
      <w:r>
        <w:rPr>
          <w:rFonts w:cs="Arial"/>
          <w:b/>
          <w:bCs/>
          <w:sz w:val="32"/>
        </w:rPr>
        <w:t>2017</w:t>
      </w:r>
    </w:p>
    <w:p w:rsidR="00910BD4" w:rsidRDefault="0079462E" w:rsidP="00B67D96">
      <w:pPr>
        <w:jc w:val="center"/>
        <w:rPr>
          <w:b/>
          <w:sz w:val="40"/>
        </w:rPr>
      </w:pPr>
      <w:r>
        <w:rPr>
          <w:b/>
          <w:sz w:val="40"/>
        </w:rPr>
        <w:t>Romania</w:t>
      </w:r>
    </w:p>
    <w:p w:rsidR="00910BD4" w:rsidRDefault="00910BD4" w:rsidP="00ED3BDC"/>
    <w:p w:rsidR="00910BD4" w:rsidRDefault="00910BD4" w:rsidP="00ED3BDC"/>
    <w:p w:rsidR="00910BD4"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Romania.</w:t>
      </w:r>
    </w:p>
    <w:p w:rsidR="00910BD4" w:rsidRDefault="00910BD4" w:rsidP="00ED3BDC"/>
    <w:p w:rsidR="00910BD4" w:rsidRDefault="00910BD4" w:rsidP="00ED3BDC"/>
    <w:p w:rsidR="00910BD4" w:rsidRDefault="0079462E" w:rsidP="00ED3BDC">
      <w:pPr>
        <w:pStyle w:val="Heading1"/>
      </w:pPr>
      <w:r>
        <w:t xml:space="preserve">BWD reporting in the season </w:t>
      </w:r>
      <w:r>
        <w:rPr>
          <w:szCs w:val="28"/>
        </w:rPr>
        <w:t>2017</w:t>
      </w:r>
    </w:p>
    <w:p w:rsidR="00910BD4" w:rsidRDefault="00910BD4" w:rsidP="00ED3BDC"/>
    <w:p w:rsidR="00910BD4"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910BD4" w:rsidRDefault="0079462E" w:rsidP="00442644">
                            <w:pPr>
                              <w:jc w:val="center"/>
                              <w:rPr>
                                <w:rFonts w:asciiTheme="minorHAnsi" w:hAnsiTheme="minorHAnsi"/>
                                <w:b/>
                              </w:rPr>
                            </w:pPr>
                            <w:r>
                              <w:rPr>
                                <w:rFonts w:asciiTheme="minorHAnsi" w:hAnsiTheme="minorHAnsi"/>
                                <w:b/>
                              </w:rPr>
                              <w:t>Bathing waters of Romania in 2017</w:t>
                            </w:r>
                          </w:p>
                          <w:p w:rsidR="00910BD4" w:rsidRDefault="00910BD4" w:rsidP="00ED3BDC">
                            <w:pPr>
                              <w:rPr>
                                <w:rFonts w:asciiTheme="minorHAnsi" w:hAnsiTheme="minorHAnsi"/>
                                <w:sz w:val="20"/>
                              </w:rPr>
                            </w:pPr>
                          </w:p>
                          <w:p w:rsidR="00910BD4"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50</w:t>
                            </w:r>
                          </w:p>
                          <w:p w:rsidR="00910BD4"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49</w:t>
                            </w:r>
                          </w:p>
                          <w:p w:rsidR="00910BD4"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w:t>
                            </w:r>
                          </w:p>
                          <w:p w:rsidR="00910BD4" w:rsidRDefault="00910BD4" w:rsidP="00DB3D3B">
                            <w:pPr>
                              <w:tabs>
                                <w:tab w:val="right" w:pos="3544"/>
                              </w:tabs>
                              <w:rPr>
                                <w:rFonts w:asciiTheme="minorHAnsi" w:hAnsiTheme="minorHAnsi"/>
                                <w:sz w:val="20"/>
                              </w:rPr>
                            </w:pPr>
                          </w:p>
                          <w:p w:rsidR="00910BD4" w:rsidRDefault="001054C3"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107 </w:t>
                            </w:r>
                            <w:r w:rsidR="008A3C2A">
                              <w:rPr>
                                <w:rFonts w:asciiTheme="minorHAnsi" w:hAnsiTheme="minorHAnsi"/>
                                <w:b/>
                                <w:sz w:val="20"/>
                              </w:rPr>
                              <w:t>days</w:t>
                            </w:r>
                          </w:p>
                          <w:p w:rsidR="00910BD4" w:rsidRDefault="0079462E" w:rsidP="00DB3D3B">
                            <w:pPr>
                              <w:tabs>
                                <w:tab w:val="right" w:pos="3544"/>
                              </w:tabs>
                              <w:rPr>
                                <w:rFonts w:asciiTheme="minorHAnsi" w:hAnsiTheme="minorHAnsi"/>
                                <w:sz w:val="20"/>
                              </w:rPr>
                            </w:pPr>
                            <w:r>
                              <w:rPr>
                                <w:rFonts w:asciiTheme="minorHAnsi" w:hAnsiTheme="minorHAnsi"/>
                                <w:sz w:val="20"/>
                              </w:rPr>
                              <w:tab/>
                              <w:t>1 Jun to 15 Sep</w:t>
                            </w:r>
                          </w:p>
                          <w:p w:rsidR="00910BD4" w:rsidRDefault="00910BD4" w:rsidP="00ED3BDC">
                            <w:pPr>
                              <w:rPr>
                                <w:rFonts w:asciiTheme="minorHAnsi" w:hAnsiTheme="minorHAnsi"/>
                                <w:sz w:val="20"/>
                              </w:rPr>
                            </w:pPr>
                          </w:p>
                          <w:p w:rsidR="00910BD4"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449</w:t>
                            </w:r>
                          </w:p>
                          <w:p w:rsidR="00910BD4" w:rsidRDefault="00910BD4" w:rsidP="00ED3BDC">
                            <w:pPr>
                              <w:rPr>
                                <w:rFonts w:asciiTheme="minorHAnsi" w:hAnsiTheme="minorHAnsi"/>
                                <w:sz w:val="20"/>
                              </w:rPr>
                            </w:pPr>
                          </w:p>
                          <w:p w:rsidR="00910BD4"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98 %</w:t>
                            </w:r>
                          </w:p>
                          <w:p w:rsidR="00910BD4" w:rsidRDefault="0079462E" w:rsidP="00ED3BDC">
                            <w:pPr>
                              <w:rPr>
                                <w:rFonts w:asciiTheme="minorHAnsi" w:hAnsiTheme="minorHAnsi"/>
                                <w:b/>
                                <w:sz w:val="20"/>
                              </w:rPr>
                            </w:pPr>
                            <w:r>
                              <w:rPr>
                                <w:rFonts w:asciiTheme="minorHAnsi" w:hAnsiTheme="minorHAnsi"/>
                                <w:b/>
                                <w:sz w:val="20"/>
                              </w:rPr>
                              <w:t xml:space="preserve">with good or excellent </w:t>
                            </w:r>
                          </w:p>
                          <w:p w:rsidR="00910BD4" w:rsidRDefault="0079462E" w:rsidP="00ED3BDC">
                            <w:pPr>
                              <w:rPr>
                                <w:rFonts w:asciiTheme="minorHAnsi" w:hAnsiTheme="minorHAnsi"/>
                                <w:b/>
                                <w:sz w:val="20"/>
                              </w:rPr>
                            </w:pPr>
                            <w:r>
                              <w:rPr>
                                <w:rFonts w:asciiTheme="minorHAnsi" w:hAnsiTheme="minorHAnsi"/>
                                <w:b/>
                                <w:sz w:val="20"/>
                              </w:rPr>
                              <w:t>water quality</w:t>
                            </w:r>
                          </w:p>
                          <w:p w:rsidR="00910BD4" w:rsidRDefault="00910BD4" w:rsidP="00ED3BDC">
                            <w:pPr>
                              <w:rPr>
                                <w:rFonts w:asciiTheme="minorHAnsi" w:hAnsiTheme="minorHAnsi"/>
                                <w:sz w:val="20"/>
                              </w:rPr>
                            </w:pPr>
                          </w:p>
                          <w:p w:rsidR="00910BD4"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910BD4"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910BD4" w:rsidRDefault="0079462E" w:rsidP="00442644">
                      <w:pPr>
                        <w:jc w:val="center"/>
                        <w:rPr>
                          <w:rFonts w:asciiTheme="minorHAnsi" w:hAnsiTheme="minorHAnsi"/>
                          <w:b/>
                        </w:rPr>
                      </w:pPr>
                      <w:r>
                        <w:rPr>
                          <w:rFonts w:asciiTheme="minorHAnsi" w:hAnsiTheme="minorHAnsi"/>
                          <w:b/>
                        </w:rPr>
                        <w:t>Bathing waters of Romania in 2017</w:t>
                      </w:r>
                    </w:p>
                    <w:p w:rsidR="00910BD4" w:rsidRDefault="00910BD4" w:rsidP="00ED3BDC">
                      <w:pPr>
                        <w:rPr>
                          <w:rFonts w:asciiTheme="minorHAnsi" w:hAnsiTheme="minorHAnsi"/>
                          <w:sz w:val="20"/>
                        </w:rPr>
                      </w:pPr>
                    </w:p>
                    <w:p w:rsidR="00910BD4"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50</w:t>
                      </w:r>
                    </w:p>
                    <w:p w:rsidR="00910BD4"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49</w:t>
                      </w:r>
                    </w:p>
                    <w:p w:rsidR="00910BD4"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w:t>
                      </w:r>
                    </w:p>
                    <w:p w:rsidR="00910BD4" w:rsidRDefault="00910BD4" w:rsidP="00DB3D3B">
                      <w:pPr>
                        <w:tabs>
                          <w:tab w:val="right" w:pos="3544"/>
                        </w:tabs>
                        <w:rPr>
                          <w:rFonts w:asciiTheme="minorHAnsi" w:hAnsiTheme="minorHAnsi"/>
                          <w:sz w:val="20"/>
                        </w:rPr>
                      </w:pPr>
                    </w:p>
                    <w:p w:rsidR="00910BD4" w:rsidRDefault="001054C3"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107 </w:t>
                      </w:r>
                      <w:r w:rsidR="008A3C2A">
                        <w:rPr>
                          <w:rFonts w:asciiTheme="minorHAnsi" w:hAnsiTheme="minorHAnsi"/>
                          <w:b/>
                          <w:sz w:val="20"/>
                        </w:rPr>
                        <w:t>days</w:t>
                      </w:r>
                    </w:p>
                    <w:p w:rsidR="00910BD4" w:rsidRDefault="0079462E" w:rsidP="00DB3D3B">
                      <w:pPr>
                        <w:tabs>
                          <w:tab w:val="right" w:pos="3544"/>
                        </w:tabs>
                        <w:rPr>
                          <w:rFonts w:asciiTheme="minorHAnsi" w:hAnsiTheme="minorHAnsi"/>
                          <w:sz w:val="20"/>
                        </w:rPr>
                      </w:pPr>
                      <w:r>
                        <w:rPr>
                          <w:rFonts w:asciiTheme="minorHAnsi" w:hAnsiTheme="minorHAnsi"/>
                          <w:sz w:val="20"/>
                        </w:rPr>
                        <w:tab/>
                        <w:t>1 Jun to 15 Sep</w:t>
                      </w:r>
                    </w:p>
                    <w:p w:rsidR="00910BD4" w:rsidRDefault="00910BD4" w:rsidP="00ED3BDC">
                      <w:pPr>
                        <w:rPr>
                          <w:rFonts w:asciiTheme="minorHAnsi" w:hAnsiTheme="minorHAnsi"/>
                          <w:sz w:val="20"/>
                        </w:rPr>
                      </w:pPr>
                    </w:p>
                    <w:p w:rsidR="00910BD4"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449</w:t>
                      </w:r>
                    </w:p>
                    <w:p w:rsidR="00910BD4" w:rsidRDefault="00910BD4" w:rsidP="00ED3BDC">
                      <w:pPr>
                        <w:rPr>
                          <w:rFonts w:asciiTheme="minorHAnsi" w:hAnsiTheme="minorHAnsi"/>
                          <w:sz w:val="20"/>
                        </w:rPr>
                      </w:pPr>
                    </w:p>
                    <w:p w:rsidR="00910BD4"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98 %</w:t>
                      </w:r>
                    </w:p>
                    <w:p w:rsidR="00910BD4" w:rsidRDefault="0079462E" w:rsidP="00ED3BDC">
                      <w:pPr>
                        <w:rPr>
                          <w:rFonts w:asciiTheme="minorHAnsi" w:hAnsiTheme="minorHAnsi"/>
                          <w:b/>
                          <w:sz w:val="20"/>
                        </w:rPr>
                      </w:pPr>
                      <w:r>
                        <w:rPr>
                          <w:rFonts w:asciiTheme="minorHAnsi" w:hAnsiTheme="minorHAnsi"/>
                          <w:b/>
                          <w:sz w:val="20"/>
                        </w:rPr>
                        <w:t xml:space="preserve">with good or excellent </w:t>
                      </w:r>
                    </w:p>
                    <w:p w:rsidR="00910BD4" w:rsidRDefault="0079462E" w:rsidP="00ED3BDC">
                      <w:pPr>
                        <w:rPr>
                          <w:rFonts w:asciiTheme="minorHAnsi" w:hAnsiTheme="minorHAnsi"/>
                          <w:b/>
                          <w:sz w:val="20"/>
                        </w:rPr>
                      </w:pPr>
                      <w:r>
                        <w:rPr>
                          <w:rFonts w:asciiTheme="minorHAnsi" w:hAnsiTheme="minorHAnsi"/>
                          <w:b/>
                          <w:sz w:val="20"/>
                        </w:rPr>
                        <w:t>water quality</w:t>
                      </w:r>
                    </w:p>
                    <w:p w:rsidR="00910BD4" w:rsidRDefault="00910BD4" w:rsidP="00ED3BDC">
                      <w:pPr>
                        <w:rPr>
                          <w:rFonts w:asciiTheme="minorHAnsi" w:hAnsiTheme="minorHAnsi"/>
                          <w:sz w:val="20"/>
                        </w:rPr>
                      </w:pPr>
                    </w:p>
                    <w:p w:rsidR="00910BD4"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2012</w:t>
                      </w:r>
                    </w:p>
                    <w:p w:rsidR="00910BD4"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50 bathing waters have been reported in Romania. For each bathing water, five groups of parameters have been delivered</w:t>
      </w:r>
      <w:r>
        <w:rPr>
          <w:rStyle w:val="FootnoteReference"/>
        </w:rPr>
        <w:footnoteReference w:id="3"/>
      </w:r>
      <w:r>
        <w:t>:</w:t>
      </w:r>
    </w:p>
    <w:p w:rsidR="00910BD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910BD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910BD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910BD4"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910BD4"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910BD4" w:rsidRDefault="00910BD4" w:rsidP="00ED3BDC"/>
    <w:p w:rsidR="00910BD4" w:rsidRDefault="0079462E" w:rsidP="00ED3BDC">
      <w:r>
        <w:t xml:space="preserve">The authorities of </w:t>
      </w:r>
      <w:r>
        <w:rPr>
          <w:rFonts w:ascii="Cambria" w:hAnsi="Cambria"/>
        </w:rPr>
        <w:t>Romania</w:t>
      </w:r>
      <w:r>
        <w:t xml:space="preserve"> report data according to the new BWD (2006/7/EC) since the season </w:t>
      </w:r>
      <w:r>
        <w:rPr>
          <w:rFonts w:ascii="Cambria" w:hAnsi="Cambria"/>
        </w:rPr>
        <w:t>2012</w:t>
      </w:r>
      <w:r>
        <w:t>.</w:t>
      </w:r>
    </w:p>
    <w:p w:rsidR="00910BD4" w:rsidRDefault="00910BD4" w:rsidP="00ED3BDC"/>
    <w:p w:rsidR="00910BD4" w:rsidRDefault="0079462E" w:rsidP="00ED3BDC">
      <w:r>
        <w:t xml:space="preserve">Altogether, </w:t>
      </w:r>
      <w:r>
        <w:rPr>
          <w:rFonts w:ascii="Cambria" w:hAnsi="Cambria"/>
          <w:b/>
        </w:rPr>
        <w:t>50</w:t>
      </w:r>
      <w:r>
        <w:rPr>
          <w:rFonts w:ascii="Cambria" w:hAnsi="Cambria"/>
        </w:rPr>
        <w:t xml:space="preserve"> </w:t>
      </w:r>
      <w:r>
        <w:rPr>
          <w:b/>
        </w:rPr>
        <w:t xml:space="preserve">bathing waters </w:t>
      </w:r>
      <w:r>
        <w:t>have been reported – 0.2% o</w:t>
      </w:r>
      <w:r w:rsidR="001054C3">
        <w:t xml:space="preserve">f all bathing waters in Europe. No </w:t>
      </w:r>
      <w:r>
        <w:t>bathing waters have been newly reported in the recent season. 98% of bathing waters in Romania are of coastal t</w:t>
      </w:r>
      <w:r w:rsidR="001054C3">
        <w:t xml:space="preserve">ype and only one is </w:t>
      </w:r>
      <w:r>
        <w:t xml:space="preserve">inland. </w:t>
      </w:r>
      <w:r>
        <w:rPr>
          <w:b/>
        </w:rPr>
        <w:t>449 samples</w:t>
      </w:r>
      <w:r>
        <w:t xml:space="preserve"> were taken at bathing waters throughout the season – 9 per bathing water on average.</w:t>
      </w:r>
    </w:p>
    <w:p w:rsidR="00910BD4" w:rsidRDefault="00910BD4" w:rsidP="00ED3BDC"/>
    <w:p w:rsidR="00910BD4" w:rsidRDefault="002B438D" w:rsidP="00ED3BDC">
      <w:r>
        <w:t>The bathing season period was from 1 June to 15 September</w:t>
      </w:r>
      <w:r w:rsidR="001054C3">
        <w:t>, i.e. 107 days altogether.</w:t>
      </w:r>
    </w:p>
    <w:p w:rsidR="00910BD4" w:rsidRDefault="00910BD4" w:rsidP="00ED3BDC"/>
    <w:p w:rsidR="00910BD4" w:rsidRDefault="002B438D" w:rsidP="00ED3BDC">
      <w:r>
        <w:t xml:space="preserve">Detailed information on bathing waters is available from national portal at </w:t>
      </w:r>
      <w:hyperlink r:id="rId9" w:history="1">
        <w:r w:rsidR="001054C3" w:rsidRPr="003F4ABB">
          <w:rPr>
            <w:rStyle w:val="Hyperlink"/>
          </w:rPr>
          <w:t>http://www.ms.ro/wp-content/uploads/2017/02/Profiluri-ape-im</w:t>
        </w:r>
        <w:r w:rsidR="001054C3" w:rsidRPr="003F4ABB">
          <w:rPr>
            <w:rStyle w:val="Hyperlink"/>
          </w:rPr>
          <w:t>b</w:t>
        </w:r>
        <w:r w:rsidR="001054C3" w:rsidRPr="003F4ABB">
          <w:rPr>
            <w:rStyle w:val="Hyperlink"/>
          </w:rPr>
          <w:t>aiere-2012.pdf</w:t>
        </w:r>
      </w:hyperlink>
      <w:r>
        <w:t>.</w:t>
      </w:r>
    </w:p>
    <w:p w:rsidR="00910BD4" w:rsidRDefault="00910BD4" w:rsidP="00ED3BDC"/>
    <w:p w:rsidR="00910BD4" w:rsidRDefault="00910BD4" w:rsidP="00ED3BDC"/>
    <w:p w:rsidR="00910BD4" w:rsidRDefault="002B438D" w:rsidP="00ED3BDC">
      <w:pPr>
        <w:pStyle w:val="Heading1"/>
      </w:pPr>
      <w:r>
        <w:t>Assessment methodology</w:t>
      </w:r>
      <w:r>
        <w:rPr>
          <w:rStyle w:val="FootnoteReference"/>
        </w:rPr>
        <w:footnoteReference w:id="4"/>
      </w:r>
    </w:p>
    <w:p w:rsidR="00910BD4" w:rsidRDefault="00910BD4" w:rsidP="00ED3BDC"/>
    <w:p w:rsidR="00910BD4"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910BD4" w:rsidRDefault="00910BD4" w:rsidP="00ED3BDC"/>
    <w:p w:rsidR="00910BD4" w:rsidRDefault="003F038E" w:rsidP="00ED3BDC">
      <w:r>
        <w:t>The monitoring requirements under the Directive are:</w:t>
      </w:r>
    </w:p>
    <w:p w:rsidR="00910BD4"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910BD4"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910BD4"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910BD4" w:rsidRDefault="00910BD4" w:rsidP="00ED3BDC"/>
    <w:p w:rsidR="00910BD4" w:rsidRDefault="003F038E" w:rsidP="003F038E">
      <w:r>
        <w:t xml:space="preserve">If these rules are satisfied, the bathing water is categorised as 'sampling frequency satisfied'. If not all monitoring requirements are fulfilled the bathing water is categorised as 'not enough samples'. 100.0%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910BD4" w:rsidRDefault="00910BD4" w:rsidP="00ED3BDC"/>
    <w:p w:rsidR="00910BD4"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910BD4" w:rsidTr="00484359">
        <w:trPr>
          <w:trHeight w:val="343"/>
        </w:trPr>
        <w:tc>
          <w:tcPr>
            <w:tcW w:w="6379" w:type="dxa"/>
            <w:shd w:val="clear" w:color="auto" w:fill="F2F2F2" w:themeFill="background1" w:themeFillShade="F2"/>
            <w:vAlign w:val="center"/>
          </w:tcPr>
          <w:p w:rsidR="00910BD4" w:rsidRDefault="00910BD4" w:rsidP="00484359">
            <w:pPr>
              <w:jc w:val="left"/>
              <w:rPr>
                <w:rFonts w:asciiTheme="minorHAnsi" w:hAnsiTheme="minorHAnsi"/>
                <w:b/>
                <w:sz w:val="20"/>
              </w:rPr>
            </w:pPr>
          </w:p>
        </w:tc>
        <w:tc>
          <w:tcPr>
            <w:tcW w:w="1701" w:type="dxa"/>
            <w:shd w:val="clear" w:color="auto" w:fill="F2F2F2" w:themeFill="background1" w:themeFillShade="F2"/>
            <w:vAlign w:val="center"/>
          </w:tcPr>
          <w:p w:rsidR="00910BD4"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910BD4" w:rsidRDefault="00484359" w:rsidP="00484359">
            <w:pPr>
              <w:jc w:val="left"/>
              <w:rPr>
                <w:rFonts w:asciiTheme="minorHAnsi" w:hAnsiTheme="minorHAnsi"/>
                <w:b/>
                <w:sz w:val="20"/>
              </w:rPr>
            </w:pPr>
            <w:r>
              <w:rPr>
                <w:rFonts w:asciiTheme="minorHAnsi" w:hAnsiTheme="minorHAnsi"/>
                <w:b/>
                <w:sz w:val="20"/>
              </w:rPr>
              <w:t>Share of total [%]</w:t>
            </w:r>
          </w:p>
        </w:tc>
      </w:tr>
      <w:tr w:rsidR="00910BD4" w:rsidTr="00484359">
        <w:tc>
          <w:tcPr>
            <w:tcW w:w="6379" w:type="dxa"/>
          </w:tcPr>
          <w:p w:rsidR="00910BD4"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910BD4"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910BD4" w:rsidRDefault="006D2330" w:rsidP="00B14C10">
            <w:pPr>
              <w:jc w:val="right"/>
              <w:rPr>
                <w:rFonts w:asciiTheme="minorHAnsi" w:hAnsiTheme="minorHAnsi"/>
                <w:sz w:val="20"/>
              </w:rPr>
            </w:pPr>
            <w:r>
              <w:rPr>
                <w:rFonts w:asciiTheme="minorHAnsi" w:hAnsiTheme="minorHAnsi"/>
                <w:sz w:val="20"/>
              </w:rPr>
              <w:t>50</w:t>
            </w:r>
          </w:p>
        </w:tc>
        <w:tc>
          <w:tcPr>
            <w:tcW w:w="1701" w:type="dxa"/>
            <w:vAlign w:val="center"/>
          </w:tcPr>
          <w:p w:rsidR="00910BD4" w:rsidRDefault="004D61EC" w:rsidP="00B14C10">
            <w:pPr>
              <w:jc w:val="right"/>
              <w:rPr>
                <w:rFonts w:asciiTheme="minorHAnsi" w:hAnsiTheme="minorHAnsi"/>
                <w:b/>
                <w:sz w:val="20"/>
              </w:rPr>
            </w:pPr>
            <w:r>
              <w:rPr>
                <w:rFonts w:asciiTheme="minorHAnsi" w:hAnsiTheme="minorHAnsi"/>
                <w:sz w:val="20"/>
              </w:rPr>
              <w:t>100.0%</w:t>
            </w:r>
          </w:p>
        </w:tc>
      </w:tr>
      <w:tr w:rsidR="00910BD4" w:rsidTr="00484359">
        <w:tc>
          <w:tcPr>
            <w:tcW w:w="6379" w:type="dxa"/>
          </w:tcPr>
          <w:p w:rsidR="00910BD4"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910BD4"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910BD4"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910BD4" w:rsidRDefault="004D61EC" w:rsidP="00484359">
            <w:pPr>
              <w:jc w:val="right"/>
              <w:rPr>
                <w:rFonts w:asciiTheme="minorHAnsi" w:hAnsiTheme="minorHAnsi"/>
                <w:b/>
                <w:sz w:val="20"/>
              </w:rPr>
            </w:pPr>
            <w:r>
              <w:rPr>
                <w:rFonts w:asciiTheme="minorHAnsi" w:hAnsiTheme="minorHAnsi"/>
                <w:sz w:val="20"/>
              </w:rPr>
              <w:t>0.0%</w:t>
            </w:r>
          </w:p>
        </w:tc>
      </w:tr>
      <w:tr w:rsidR="00910BD4" w:rsidTr="00484359">
        <w:tc>
          <w:tcPr>
            <w:tcW w:w="6379" w:type="dxa"/>
          </w:tcPr>
          <w:p w:rsidR="00910BD4"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910BD4"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w:t>
            </w:r>
            <w:r>
              <w:rPr>
                <w:rFonts w:asciiTheme="minorHAnsi" w:hAnsiTheme="minorHAnsi"/>
                <w:color w:val="595959" w:themeColor="text1" w:themeTint="A6"/>
                <w:sz w:val="20"/>
              </w:rPr>
              <w:lastRenderedPageBreak/>
              <w:t>period because they are new, have been subject to changes (that are likely to affect the classification of the bathing water) or have been closed. They cannot be quality-classified.</w:t>
            </w:r>
          </w:p>
        </w:tc>
        <w:tc>
          <w:tcPr>
            <w:tcW w:w="1701" w:type="dxa"/>
            <w:vAlign w:val="center"/>
          </w:tcPr>
          <w:p w:rsidR="00910BD4" w:rsidRDefault="006710BD" w:rsidP="00B14C10">
            <w:pPr>
              <w:jc w:val="right"/>
              <w:rPr>
                <w:rFonts w:asciiTheme="minorHAnsi" w:hAnsiTheme="minorHAnsi"/>
                <w:b/>
                <w:sz w:val="20"/>
              </w:rPr>
            </w:pPr>
            <w:r>
              <w:rPr>
                <w:rFonts w:asciiTheme="minorHAnsi" w:hAnsiTheme="minorHAnsi"/>
                <w:sz w:val="20"/>
              </w:rPr>
              <w:lastRenderedPageBreak/>
              <w:t>0</w:t>
            </w:r>
          </w:p>
        </w:tc>
        <w:tc>
          <w:tcPr>
            <w:tcW w:w="1701" w:type="dxa"/>
            <w:vAlign w:val="center"/>
          </w:tcPr>
          <w:p w:rsidR="00910BD4" w:rsidRDefault="004D61EC" w:rsidP="00B14C10">
            <w:pPr>
              <w:jc w:val="right"/>
              <w:rPr>
                <w:rFonts w:asciiTheme="minorHAnsi" w:hAnsiTheme="minorHAnsi"/>
                <w:b/>
                <w:sz w:val="20"/>
              </w:rPr>
            </w:pPr>
            <w:r>
              <w:rPr>
                <w:rFonts w:asciiTheme="minorHAnsi" w:hAnsiTheme="minorHAnsi"/>
                <w:sz w:val="20"/>
              </w:rPr>
              <w:t>0.0%</w:t>
            </w:r>
          </w:p>
        </w:tc>
      </w:tr>
      <w:tr w:rsidR="00910BD4" w:rsidTr="00484359">
        <w:trPr>
          <w:trHeight w:val="323"/>
        </w:trPr>
        <w:tc>
          <w:tcPr>
            <w:tcW w:w="6379" w:type="dxa"/>
            <w:shd w:val="clear" w:color="auto" w:fill="F2F2F2" w:themeFill="background1" w:themeFillShade="F2"/>
            <w:vAlign w:val="center"/>
          </w:tcPr>
          <w:p w:rsidR="00910BD4"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910BD4" w:rsidRDefault="00993FEC" w:rsidP="00484359">
            <w:pPr>
              <w:jc w:val="right"/>
              <w:rPr>
                <w:rFonts w:asciiTheme="minorHAnsi" w:hAnsiTheme="minorHAnsi"/>
                <w:b/>
                <w:sz w:val="20"/>
              </w:rPr>
            </w:pPr>
            <w:r>
              <w:rPr>
                <w:rFonts w:asciiTheme="minorHAnsi" w:hAnsiTheme="minorHAnsi"/>
                <w:b/>
                <w:sz w:val="20"/>
              </w:rPr>
              <w:t>50</w:t>
            </w:r>
          </w:p>
        </w:tc>
        <w:tc>
          <w:tcPr>
            <w:tcW w:w="1701" w:type="dxa"/>
            <w:shd w:val="clear" w:color="auto" w:fill="F2F2F2" w:themeFill="background1" w:themeFillShade="F2"/>
            <w:vAlign w:val="center"/>
          </w:tcPr>
          <w:p w:rsidR="00910BD4" w:rsidRDefault="004943BD" w:rsidP="004943BD">
            <w:pPr>
              <w:jc w:val="right"/>
              <w:rPr>
                <w:rFonts w:asciiTheme="minorHAnsi" w:hAnsiTheme="minorHAnsi"/>
                <w:b/>
                <w:sz w:val="20"/>
              </w:rPr>
            </w:pPr>
            <w:r>
              <w:rPr>
                <w:rFonts w:asciiTheme="minorHAnsi" w:hAnsiTheme="minorHAnsi"/>
                <w:b/>
                <w:sz w:val="20"/>
              </w:rPr>
              <w:t>100%</w:t>
            </w:r>
          </w:p>
        </w:tc>
      </w:tr>
    </w:tbl>
    <w:p w:rsidR="00910BD4" w:rsidRDefault="00910BD4" w:rsidP="00ED3BDC"/>
    <w:p w:rsidR="00910BD4"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910BD4" w:rsidRDefault="00910BD4" w:rsidP="00ED3BDC"/>
    <w:p w:rsidR="00910BD4"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910BD4" w:rsidRDefault="00910BD4" w:rsidP="00ED3BDC"/>
    <w:p w:rsidR="00910BD4" w:rsidRDefault="002F24A6" w:rsidP="002F24A6">
      <w:r>
        <w:t>Quality assessment is not possible for all bathing waters. In these cases, they are instead classified as either:</w:t>
      </w:r>
    </w:p>
    <w:p w:rsidR="00910BD4" w:rsidRDefault="002F24A6" w:rsidP="002F24A6">
      <w:pPr>
        <w:ind w:firstLine="284"/>
      </w:pPr>
      <w:r>
        <w:t>• not enough samples</w:t>
      </w:r>
      <w:r>
        <w:rPr>
          <w:rStyle w:val="FootnoteReference"/>
        </w:rPr>
        <w:footnoteReference w:id="8"/>
      </w:r>
      <w:r>
        <w:t>;</w:t>
      </w:r>
    </w:p>
    <w:p w:rsidR="00910BD4" w:rsidRDefault="002F24A6" w:rsidP="002F24A6">
      <w:pPr>
        <w:ind w:firstLine="284"/>
      </w:pPr>
      <w:r>
        <w:t>• new</w:t>
      </w:r>
      <w:r>
        <w:rPr>
          <w:rStyle w:val="FootnoteReference"/>
        </w:rPr>
        <w:footnoteReference w:id="9"/>
      </w:r>
      <w:r>
        <w:t>;</w:t>
      </w:r>
    </w:p>
    <w:p w:rsidR="00910BD4" w:rsidRDefault="00783E42" w:rsidP="00783E42">
      <w:pPr>
        <w:ind w:firstLine="284"/>
      </w:pPr>
      <w:r>
        <w:t>• changes</w:t>
      </w:r>
      <w:r>
        <w:rPr>
          <w:rStyle w:val="FootnoteReference"/>
        </w:rPr>
        <w:footnoteReference w:id="10"/>
      </w:r>
      <w:r>
        <w:t>;</w:t>
      </w:r>
    </w:p>
    <w:p w:rsidR="00910BD4" w:rsidRDefault="00783E42" w:rsidP="00783E42">
      <w:pPr>
        <w:ind w:firstLine="284"/>
      </w:pPr>
      <w:r>
        <w:t>• closed</w:t>
      </w:r>
      <w:r>
        <w:rPr>
          <w:rStyle w:val="FootnoteReference"/>
        </w:rPr>
        <w:footnoteReference w:id="11"/>
      </w:r>
      <w:r>
        <w:t>.</w:t>
      </w:r>
    </w:p>
    <w:p w:rsidR="00910BD4" w:rsidRDefault="00910BD4" w:rsidP="00AF3F74"/>
    <w:p w:rsidR="00910BD4" w:rsidRDefault="00910BD4" w:rsidP="00ED3BDC"/>
    <w:p w:rsidR="00910BD4" w:rsidRDefault="002B438D" w:rsidP="00ED3BDC">
      <w:pPr>
        <w:pStyle w:val="Heading1"/>
      </w:pPr>
      <w:r>
        <w:t>Bathing water quality</w:t>
      </w:r>
    </w:p>
    <w:p w:rsidR="00910BD4" w:rsidRDefault="00910BD4" w:rsidP="00ED3BDC"/>
    <w:p w:rsidR="00910BD4" w:rsidRDefault="002B438D" w:rsidP="00ED3BDC">
      <w:r>
        <w:t>The results of the bathing water quality in Romania throughout the past period are presented in Figure 1 (for coastal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910BD4" w:rsidRDefault="00910BD4" w:rsidP="00ED3BDC"/>
    <w:p w:rsidR="001054C3" w:rsidRDefault="001054C3" w:rsidP="00ED3BDC"/>
    <w:p w:rsidR="001054C3" w:rsidRDefault="001054C3" w:rsidP="00ED3BDC"/>
    <w:p w:rsidR="001054C3" w:rsidRDefault="001054C3" w:rsidP="00ED3BDC"/>
    <w:p w:rsidR="001054C3" w:rsidRDefault="001054C3" w:rsidP="00ED3BDC"/>
    <w:p w:rsidR="001054C3" w:rsidRDefault="001054C3" w:rsidP="00ED3BDC"/>
    <w:p w:rsidR="001054C3" w:rsidRDefault="001054C3" w:rsidP="00ED3BDC"/>
    <w:p w:rsidR="001054C3" w:rsidRDefault="001054C3" w:rsidP="00ED3BDC"/>
    <w:p w:rsidR="001054C3" w:rsidRDefault="001054C3" w:rsidP="00ED3BDC">
      <w:bookmarkStart w:id="1" w:name="_GoBack"/>
      <w:bookmarkEnd w:id="1"/>
    </w:p>
    <w:p w:rsidR="00910BD4" w:rsidRDefault="002B438D" w:rsidP="00ED3BDC">
      <w:pPr>
        <w:pStyle w:val="Heading2"/>
      </w:pPr>
      <w:r>
        <w:lastRenderedPageBreak/>
        <w:t>Coastal bathing waters</w:t>
      </w:r>
    </w:p>
    <w:p w:rsidR="00910BD4" w:rsidRDefault="00910BD4" w:rsidP="00ED3BDC"/>
    <w:p w:rsidR="00910BD4" w:rsidRDefault="002B438D" w:rsidP="00ED3BDC">
      <w:r>
        <w:t xml:space="preserve">In Romania, all existing coastal bathing waters met at least sufficient water quality standards in 2017. See Appendix 1 for numeric data. </w:t>
      </w:r>
    </w:p>
    <w:p w:rsidR="00910BD4" w:rsidRDefault="00910BD4" w:rsidP="00ED3BDC"/>
    <w:p w:rsidR="00910BD4"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0BD4"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Romania. </w:t>
      </w:r>
      <w:r>
        <w:rPr>
          <w:b w:val="0"/>
        </w:rPr>
        <w:t>Note: the “At least sufficient” class also includes bathing waters of “Excellent” quality class, the sum of shares is therefore not 100%.</w:t>
      </w:r>
      <w:r>
        <w:t xml:space="preserve"> </w:t>
      </w:r>
    </w:p>
    <w:p w:rsidR="00910BD4" w:rsidRDefault="00910BD4" w:rsidP="00ED3BDC"/>
    <w:p w:rsidR="00910BD4" w:rsidRDefault="00910BD4" w:rsidP="00ED3BDC"/>
    <w:p w:rsidR="00910BD4" w:rsidRDefault="002B438D" w:rsidP="00ED3BDC">
      <w:pPr>
        <w:pStyle w:val="Heading2"/>
      </w:pPr>
      <w:r>
        <w:t>Inland bathing waters</w:t>
      </w:r>
    </w:p>
    <w:p w:rsidR="00910BD4" w:rsidRDefault="00910BD4" w:rsidP="00ED3BDC"/>
    <w:p w:rsidR="001054C3" w:rsidRDefault="001054C3" w:rsidP="001054C3">
      <w:bookmarkStart w:id="2" w:name="OLE_LINK19"/>
      <w:bookmarkStart w:id="3" w:name="OLE_LINK20"/>
      <w:r w:rsidRPr="00E61635">
        <w:t xml:space="preserve">One bathing water is reported in Romania: </w:t>
      </w:r>
      <w:proofErr w:type="spellStart"/>
      <w:r w:rsidRPr="00E61635">
        <w:t>Tulcea</w:t>
      </w:r>
      <w:proofErr w:type="spellEnd"/>
      <w:r w:rsidRPr="00E61635">
        <w:t xml:space="preserve"> Lac </w:t>
      </w:r>
      <w:proofErr w:type="spellStart"/>
      <w:proofErr w:type="gramStart"/>
      <w:r w:rsidRPr="00E61635">
        <w:t>Ciuperca</w:t>
      </w:r>
      <w:proofErr w:type="spellEnd"/>
      <w:r w:rsidRPr="00E61635">
        <w:t>,</w:t>
      </w:r>
      <w:proofErr w:type="gramEnd"/>
      <w:r w:rsidRPr="00E61635">
        <w:t xml:space="preserve"> first identified in 2013 season. Its quality is classified “</w:t>
      </w:r>
      <w:r>
        <w:t>good</w:t>
      </w:r>
      <w:r w:rsidRPr="00E61635">
        <w:t>”.</w:t>
      </w:r>
    </w:p>
    <w:bookmarkEnd w:id="2"/>
    <w:bookmarkEnd w:id="3"/>
    <w:p w:rsidR="00910BD4" w:rsidRDefault="00910BD4" w:rsidP="00ED3BDC"/>
    <w:p w:rsidR="00910BD4" w:rsidRDefault="00910BD4" w:rsidP="00ED3BDC"/>
    <w:p w:rsidR="00910BD4"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910BD4" w:rsidRDefault="00910BD4" w:rsidP="00ED3BDC"/>
    <w:p w:rsidR="001054C3" w:rsidRDefault="001054C3" w:rsidP="001054C3">
      <w:r>
        <w:t xml:space="preserve">The list of bathing waters identified for the bathing season 2017 and monitoring calendar was posted on the websites (Ministry of Health </w:t>
      </w:r>
      <w:hyperlink r:id="rId11" w:history="1">
        <w:r w:rsidRPr="003F4ABB">
          <w:rPr>
            <w:rStyle w:val="Hyperlink"/>
          </w:rPr>
          <w:t>http://old.ms.ro/?pag=182</w:t>
        </w:r>
      </w:hyperlink>
      <w:r>
        <w:t xml:space="preserve">). A public meeting on the monitoring of bathing water quality was announced at the local press on 12 May 2017, for the other stakeholders (local authorities, press, </w:t>
      </w:r>
      <w:proofErr w:type="gramStart"/>
      <w:r>
        <w:t>interested</w:t>
      </w:r>
      <w:proofErr w:type="gramEnd"/>
      <w:r>
        <w:t xml:space="preserve"> public). The meeting was organized and hosted by Constanta Public Health Directory on 18 May 2017. This meeting was also attended by the other responsible from the local authorities (Institution of the Prefect of Constanta County) and local </w:t>
      </w:r>
      <w:proofErr w:type="spellStart"/>
      <w:r>
        <w:t>EPA</w:t>
      </w:r>
      <w:proofErr w:type="spellEnd"/>
      <w:r>
        <w:t xml:space="preserve"> - Bathing water department, Water Body Department Constanta, media (DIGI24, TV </w:t>
      </w:r>
      <w:proofErr w:type="spellStart"/>
      <w:r>
        <w:t>NEPTUN</w:t>
      </w:r>
      <w:proofErr w:type="spellEnd"/>
      <w:r>
        <w:t xml:space="preserve">). Bathing water profiles have been established since 2011 and updated in 2012 - they are available in Romanian language at the link: </w:t>
      </w:r>
      <w:hyperlink r:id="rId12" w:history="1">
        <w:r w:rsidRPr="003F4ABB">
          <w:rPr>
            <w:rStyle w:val="Hyperlink"/>
          </w:rPr>
          <w:t>http://old.ms.ro/?pag=182</w:t>
        </w:r>
      </w:hyperlink>
      <w:r>
        <w:t>. A template for identifying and assessing causes of pollution that might affect bathing waters and impair bathers' health has been applied before beginning of the season.</w:t>
      </w:r>
    </w:p>
    <w:p w:rsidR="001054C3" w:rsidRDefault="001054C3" w:rsidP="001054C3"/>
    <w:p w:rsidR="00910BD4" w:rsidRDefault="001054C3" w:rsidP="001054C3">
      <w:r>
        <w:t xml:space="preserve">The analytical methods used for monitoring are those required and mentioned by the Directive and the Romanian legislation </w:t>
      </w:r>
      <w:proofErr w:type="gramStart"/>
      <w:r>
        <w:t>for ”</w:t>
      </w:r>
      <w:proofErr w:type="gramEnd"/>
      <w:r>
        <w:t xml:space="preserve">intestinal  enterococci” analysis ISO 7899-2:2000 is used. </w:t>
      </w:r>
      <w:proofErr w:type="gramStart"/>
      <w:r>
        <w:t>For ”</w:t>
      </w:r>
      <w:proofErr w:type="gramEnd"/>
      <w:r>
        <w:t xml:space="preserve">E. coli”  analysis, since this bathing season, the EN ISO 9308-3:1998 is used. Monitoring results were posted </w:t>
      </w:r>
      <w:r>
        <w:lastRenderedPageBreak/>
        <w:t xml:space="preserve">every two weeks on the Constanta Public Health Directory site </w:t>
      </w:r>
      <w:hyperlink r:id="rId13" w:history="1">
        <w:r w:rsidRPr="003F4ABB">
          <w:rPr>
            <w:rStyle w:val="Hyperlink"/>
          </w:rPr>
          <w:t>http://www.dspct.ro</w:t>
        </w:r>
      </w:hyperlink>
      <w:r>
        <w:t xml:space="preserve"> and on the billboards of the beaches for each bathing waters (also pictograms).</w:t>
      </w:r>
    </w:p>
    <w:p w:rsidR="001054C3" w:rsidRDefault="001054C3" w:rsidP="001054C3"/>
    <w:p w:rsidR="00910BD4" w:rsidRDefault="00910BD4" w:rsidP="00ED3BDC"/>
    <w:p w:rsidR="00910BD4" w:rsidRDefault="0024729D" w:rsidP="00ED3BDC">
      <w:pPr>
        <w:pStyle w:val="Heading1"/>
      </w:pPr>
      <w:r>
        <w:t>Bathing water quality assessment presentation in online viewers</w:t>
      </w:r>
    </w:p>
    <w:p w:rsidR="00910BD4" w:rsidRDefault="00910BD4" w:rsidP="00ED3BDC"/>
    <w:p w:rsidR="00910BD4"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4" w:history="1">
        <w:r>
          <w:rPr>
            <w:rStyle w:val="Hyperlink"/>
          </w:rPr>
          <w:t>http://ec.europa.eu/environment/water/index_en.htm</w:t>
        </w:r>
      </w:hyperlink>
      <w:r>
        <w:t>.</w:t>
      </w:r>
    </w:p>
    <w:p w:rsidR="00910BD4" w:rsidRDefault="00910BD4" w:rsidP="00EC573D"/>
    <w:p w:rsidR="00910BD4" w:rsidRDefault="003E2BA0" w:rsidP="003E2BA0">
      <w:r>
        <w:t>The bathing water section of the Water Information System for Europe (WISE) which is accessible at the EEA bathing water website (</w:t>
      </w:r>
      <w:hyperlink r:id="rId15"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910BD4" w:rsidRDefault="002B438D" w:rsidP="003E2BA0">
      <w:r>
        <w:br w:type="page"/>
      </w:r>
    </w:p>
    <w:p w:rsidR="00910BD4" w:rsidRDefault="002B438D" w:rsidP="00ED3BDC">
      <w:pPr>
        <w:rPr>
          <w:b/>
          <w:sz w:val="28"/>
        </w:rPr>
      </w:pPr>
      <w:r>
        <w:rPr>
          <w:b/>
          <w:sz w:val="28"/>
        </w:rPr>
        <w:lastRenderedPageBreak/>
        <w:t>Appendix 1: Results of bathing water quality in Romania from 2014 to 2017</w:t>
      </w:r>
    </w:p>
    <w:p w:rsidR="00910BD4" w:rsidRDefault="00910BD4" w:rsidP="00ED3BDC"/>
    <w:p w:rsidR="00910BD4"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910BD4" w:rsidTr="005F5E3F">
        <w:tc>
          <w:tcPr>
            <w:tcW w:w="1276" w:type="dxa"/>
            <w:gridSpan w:val="2"/>
            <w:vMerge w:val="restart"/>
            <w:shd w:val="clear" w:color="auto" w:fill="F2F2F2" w:themeFill="background1" w:themeFillShade="F2"/>
          </w:tcPr>
          <w:p w:rsidR="00910BD4" w:rsidRDefault="00910BD4"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910BD4" w:rsidRDefault="005F5E3F" w:rsidP="00B853E1">
            <w:pPr>
              <w:jc w:val="center"/>
              <w:rPr>
                <w:rFonts w:asciiTheme="minorHAnsi" w:hAnsiTheme="minorHAnsi"/>
                <w:b/>
                <w:sz w:val="20"/>
                <w:szCs w:val="20"/>
              </w:rPr>
            </w:pPr>
            <w:r>
              <w:rPr>
                <w:rFonts w:asciiTheme="minorHAnsi" w:hAnsiTheme="minorHAnsi"/>
                <w:b/>
                <w:sz w:val="20"/>
                <w:szCs w:val="20"/>
              </w:rPr>
              <w:t>Total</w:t>
            </w:r>
          </w:p>
          <w:p w:rsidR="00910BD4" w:rsidRDefault="005F5E3F" w:rsidP="00B853E1">
            <w:pPr>
              <w:jc w:val="center"/>
              <w:rPr>
                <w:rFonts w:asciiTheme="minorHAnsi" w:hAnsiTheme="minorHAnsi"/>
                <w:b/>
                <w:sz w:val="20"/>
                <w:szCs w:val="20"/>
              </w:rPr>
            </w:pPr>
            <w:r>
              <w:rPr>
                <w:rFonts w:asciiTheme="minorHAnsi" w:hAnsiTheme="minorHAnsi"/>
                <w:b/>
                <w:sz w:val="20"/>
                <w:szCs w:val="20"/>
              </w:rPr>
              <w:t>number</w:t>
            </w:r>
          </w:p>
          <w:p w:rsidR="00910BD4" w:rsidRDefault="005F5E3F" w:rsidP="00B853E1">
            <w:pPr>
              <w:jc w:val="center"/>
              <w:rPr>
                <w:rFonts w:asciiTheme="minorHAnsi" w:hAnsiTheme="minorHAnsi"/>
                <w:b/>
                <w:sz w:val="20"/>
                <w:szCs w:val="20"/>
              </w:rPr>
            </w:pPr>
            <w:r>
              <w:rPr>
                <w:rFonts w:asciiTheme="minorHAnsi" w:hAnsiTheme="minorHAnsi"/>
                <w:b/>
                <w:sz w:val="20"/>
                <w:szCs w:val="20"/>
              </w:rPr>
              <w:t>of</w:t>
            </w:r>
          </w:p>
          <w:p w:rsidR="00910BD4" w:rsidRDefault="005F5E3F" w:rsidP="00B853E1">
            <w:pPr>
              <w:jc w:val="center"/>
              <w:rPr>
                <w:rFonts w:asciiTheme="minorHAnsi" w:hAnsiTheme="minorHAnsi"/>
                <w:b/>
                <w:sz w:val="20"/>
                <w:szCs w:val="20"/>
              </w:rPr>
            </w:pPr>
            <w:r>
              <w:rPr>
                <w:rFonts w:asciiTheme="minorHAnsi" w:hAnsiTheme="minorHAnsi"/>
                <w:b/>
                <w:sz w:val="20"/>
                <w:szCs w:val="20"/>
              </w:rPr>
              <w:t>bathing</w:t>
            </w:r>
          </w:p>
          <w:p w:rsidR="00910BD4"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910BD4"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910BD4" w:rsidRDefault="005F5E3F" w:rsidP="00B853E1">
            <w:pPr>
              <w:jc w:val="center"/>
              <w:rPr>
                <w:rFonts w:asciiTheme="minorHAnsi" w:hAnsiTheme="minorHAnsi"/>
                <w:b/>
                <w:sz w:val="20"/>
                <w:szCs w:val="20"/>
              </w:rPr>
            </w:pPr>
            <w:r>
              <w:rPr>
                <w:rFonts w:asciiTheme="minorHAnsi" w:hAnsiTheme="minorHAnsi"/>
                <w:b/>
                <w:sz w:val="20"/>
                <w:szCs w:val="20"/>
              </w:rPr>
              <w:t>At least</w:t>
            </w:r>
          </w:p>
          <w:p w:rsidR="00910BD4" w:rsidRDefault="005F5E3F" w:rsidP="00B853E1">
            <w:pPr>
              <w:jc w:val="center"/>
              <w:rPr>
                <w:rFonts w:asciiTheme="minorHAnsi" w:hAnsiTheme="minorHAnsi"/>
                <w:b/>
                <w:sz w:val="20"/>
                <w:szCs w:val="20"/>
              </w:rPr>
            </w:pPr>
            <w:r>
              <w:rPr>
                <w:rFonts w:asciiTheme="minorHAnsi" w:hAnsiTheme="minorHAnsi"/>
                <w:b/>
                <w:sz w:val="20"/>
                <w:szCs w:val="20"/>
              </w:rPr>
              <w:t>sufficient</w:t>
            </w:r>
          </w:p>
          <w:p w:rsidR="00910BD4"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910BD4"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910BD4" w:rsidRDefault="005F5E3F" w:rsidP="00B853E1">
            <w:pPr>
              <w:jc w:val="center"/>
              <w:rPr>
                <w:rFonts w:asciiTheme="minorHAnsi" w:hAnsiTheme="minorHAnsi"/>
                <w:b/>
                <w:sz w:val="20"/>
                <w:szCs w:val="20"/>
              </w:rPr>
            </w:pPr>
            <w:r>
              <w:rPr>
                <w:rFonts w:asciiTheme="minorHAnsi" w:hAnsiTheme="minorHAnsi"/>
                <w:b/>
                <w:sz w:val="20"/>
                <w:szCs w:val="20"/>
              </w:rPr>
              <w:t>Quality</w:t>
            </w:r>
          </w:p>
          <w:p w:rsidR="00910BD4"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910BD4"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910BD4"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910BD4" w:rsidRDefault="005F5E3F" w:rsidP="00B853E1">
            <w:pPr>
              <w:jc w:val="center"/>
              <w:rPr>
                <w:rFonts w:asciiTheme="minorHAnsi" w:hAnsiTheme="minorHAnsi"/>
                <w:b/>
                <w:sz w:val="20"/>
                <w:szCs w:val="20"/>
              </w:rPr>
            </w:pPr>
            <w:r>
              <w:rPr>
                <w:rFonts w:asciiTheme="minorHAnsi" w:hAnsiTheme="minorHAnsi"/>
                <w:b/>
                <w:sz w:val="20"/>
                <w:szCs w:val="20"/>
              </w:rPr>
              <w:t>/new bathing</w:t>
            </w:r>
          </w:p>
          <w:p w:rsidR="00910BD4" w:rsidRDefault="005F5E3F" w:rsidP="00B853E1">
            <w:pPr>
              <w:jc w:val="center"/>
              <w:rPr>
                <w:rFonts w:asciiTheme="minorHAnsi" w:hAnsiTheme="minorHAnsi"/>
                <w:b/>
                <w:sz w:val="20"/>
                <w:szCs w:val="20"/>
              </w:rPr>
            </w:pPr>
            <w:r>
              <w:rPr>
                <w:rFonts w:asciiTheme="minorHAnsi" w:hAnsiTheme="minorHAnsi"/>
                <w:b/>
                <w:sz w:val="20"/>
                <w:szCs w:val="20"/>
              </w:rPr>
              <w:t>waters/bathing</w:t>
            </w:r>
          </w:p>
          <w:p w:rsidR="00910BD4"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910BD4" w:rsidTr="005F5E3F">
        <w:tc>
          <w:tcPr>
            <w:tcW w:w="1276" w:type="dxa"/>
            <w:gridSpan w:val="2"/>
            <w:vMerge/>
            <w:tcBorders>
              <w:bottom w:val="single" w:sz="4" w:space="0" w:color="808080" w:themeColor="background1" w:themeShade="80"/>
            </w:tcBorders>
            <w:shd w:val="clear" w:color="auto" w:fill="F2F2F2" w:themeFill="background1" w:themeFillShade="F2"/>
          </w:tcPr>
          <w:p w:rsidR="00910BD4" w:rsidRDefault="00910BD4"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910BD4" w:rsidRDefault="00910BD4"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910BD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910BD4"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910BD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910BD4"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910BD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910BD4"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910BD4"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910BD4" w:rsidRDefault="005F5E3F" w:rsidP="00430B97">
            <w:pPr>
              <w:jc w:val="center"/>
              <w:rPr>
                <w:rFonts w:asciiTheme="minorHAnsi" w:hAnsiTheme="minorHAnsi"/>
                <w:b/>
                <w:sz w:val="20"/>
                <w:szCs w:val="20"/>
              </w:rPr>
            </w:pPr>
            <w:r>
              <w:rPr>
                <w:rFonts w:asciiTheme="minorHAnsi" w:hAnsiTheme="minorHAnsi"/>
                <w:b/>
                <w:sz w:val="20"/>
                <w:szCs w:val="20"/>
              </w:rPr>
              <w:t>%</w:t>
            </w:r>
          </w:p>
        </w:tc>
      </w:tr>
      <w:tr w:rsidR="00910BD4"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1054C3">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49</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11</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22.4</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49</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5C19AE">
            <w:pPr>
              <w:jc w:val="center"/>
              <w:rPr>
                <w:rFonts w:asciiTheme="minorHAnsi" w:hAnsiTheme="minorHAnsi"/>
                <w:sz w:val="20"/>
                <w:szCs w:val="20"/>
              </w:rPr>
            </w:pPr>
            <w:r>
              <w:rPr>
                <w:rFonts w:asciiTheme="minorHAnsi" w:hAnsiTheme="minorHAnsi"/>
                <w:sz w:val="20"/>
                <w:szCs w:val="20"/>
              </w:rPr>
              <w:t>Coastal</w:t>
            </w:r>
          </w:p>
          <w:p w:rsidR="00910BD4" w:rsidRDefault="00910BD4"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49</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15</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30.6</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48</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98.0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5C19AE">
            <w:pPr>
              <w:jc w:val="center"/>
              <w:rPr>
                <w:rFonts w:asciiTheme="minorHAnsi" w:hAnsiTheme="minorHAnsi"/>
                <w:sz w:val="20"/>
                <w:szCs w:val="20"/>
              </w:rPr>
            </w:pPr>
            <w:r>
              <w:rPr>
                <w:rFonts w:asciiTheme="minorHAnsi" w:hAnsiTheme="minorHAnsi"/>
                <w:sz w:val="20"/>
                <w:szCs w:val="20"/>
              </w:rPr>
              <w:t>Coastal</w:t>
            </w:r>
          </w:p>
          <w:p w:rsidR="00910BD4" w:rsidRDefault="00910BD4"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49</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34</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69.4</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49</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5C19AE">
            <w:pPr>
              <w:jc w:val="center"/>
              <w:rPr>
                <w:rFonts w:asciiTheme="minorHAnsi" w:hAnsiTheme="minorHAnsi"/>
                <w:sz w:val="20"/>
                <w:szCs w:val="20"/>
              </w:rPr>
            </w:pPr>
            <w:r>
              <w:rPr>
                <w:rFonts w:asciiTheme="minorHAnsi" w:hAnsiTheme="minorHAnsi"/>
                <w:sz w:val="20"/>
                <w:szCs w:val="20"/>
              </w:rPr>
              <w:t>Coastal</w:t>
            </w:r>
          </w:p>
          <w:p w:rsidR="00910BD4" w:rsidRDefault="00910BD4"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49</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25</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51.0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49</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1054C3">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910BD4" w:rsidRDefault="00910BD4"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910BD4" w:rsidRDefault="00910BD4"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910BD4"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910BD4" w:rsidRDefault="00910BD4"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39"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04"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w:t>
            </w:r>
          </w:p>
        </w:tc>
        <w:tc>
          <w:tcPr>
            <w:tcW w:w="99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910BD4" w:rsidRDefault="005F5E3F" w:rsidP="002E7263">
            <w:pPr>
              <w:jc w:val="right"/>
              <w:rPr>
                <w:rFonts w:asciiTheme="minorHAnsi" w:hAnsiTheme="minorHAnsi"/>
                <w:sz w:val="20"/>
                <w:szCs w:val="20"/>
              </w:rPr>
            </w:pPr>
            <w:r>
              <w:rPr>
                <w:rFonts w:asciiTheme="minorHAnsi" w:hAnsiTheme="minorHAnsi"/>
                <w:sz w:val="20"/>
                <w:szCs w:val="20"/>
              </w:rPr>
              <w:t>0.0</w:t>
            </w:r>
          </w:p>
        </w:tc>
      </w:tr>
      <w:tr w:rsidR="00910BD4" w:rsidTr="005F5E3F">
        <w:trPr>
          <w:cantSplit/>
          <w:trHeight w:val="425"/>
        </w:trPr>
        <w:tc>
          <w:tcPr>
            <w:tcW w:w="426" w:type="dxa"/>
            <w:vMerge w:val="restart"/>
            <w:tcBorders>
              <w:top w:val="single" w:sz="4" w:space="0" w:color="808080" w:themeColor="background1" w:themeShade="80"/>
            </w:tcBorders>
            <w:textDirection w:val="btLr"/>
            <w:vAlign w:val="center"/>
          </w:tcPr>
          <w:p w:rsidR="00910BD4" w:rsidRDefault="005F5E3F" w:rsidP="001054C3">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w:t>
            </w:r>
          </w:p>
        </w:tc>
        <w:tc>
          <w:tcPr>
            <w:tcW w:w="939"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11</w:t>
            </w:r>
          </w:p>
        </w:tc>
        <w:tc>
          <w:tcPr>
            <w:tcW w:w="904"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22.0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w:t>
            </w:r>
          </w:p>
        </w:tc>
        <w:tc>
          <w:tcPr>
            <w:tcW w:w="99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0.0</w:t>
            </w:r>
          </w:p>
        </w:tc>
      </w:tr>
      <w:tr w:rsidR="00910BD4" w:rsidTr="005F5E3F">
        <w:trPr>
          <w:cantSplit/>
          <w:trHeight w:val="425"/>
        </w:trPr>
        <w:tc>
          <w:tcPr>
            <w:tcW w:w="426" w:type="dxa"/>
            <w:vMerge/>
            <w:tcBorders>
              <w:top w:val="single" w:sz="4" w:space="0" w:color="808080" w:themeColor="background1" w:themeShade="80"/>
            </w:tcBorders>
            <w:textDirection w:val="btLr"/>
            <w:vAlign w:val="center"/>
          </w:tcPr>
          <w:p w:rsidR="00910BD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910BD4" w:rsidRDefault="00910BD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w:t>
            </w:r>
          </w:p>
        </w:tc>
        <w:tc>
          <w:tcPr>
            <w:tcW w:w="939"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16</w:t>
            </w:r>
          </w:p>
        </w:tc>
        <w:tc>
          <w:tcPr>
            <w:tcW w:w="904"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32.0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49</w:t>
            </w:r>
          </w:p>
        </w:tc>
        <w:tc>
          <w:tcPr>
            <w:tcW w:w="99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98.0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2.0</w:t>
            </w:r>
          </w:p>
        </w:tc>
        <w:tc>
          <w:tcPr>
            <w:tcW w:w="90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0.0</w:t>
            </w:r>
          </w:p>
        </w:tc>
      </w:tr>
      <w:tr w:rsidR="00910BD4" w:rsidTr="005F5E3F">
        <w:trPr>
          <w:cantSplit/>
          <w:trHeight w:val="425"/>
        </w:trPr>
        <w:tc>
          <w:tcPr>
            <w:tcW w:w="426" w:type="dxa"/>
            <w:vMerge/>
            <w:tcBorders>
              <w:top w:val="single" w:sz="4" w:space="0" w:color="808080" w:themeColor="background1" w:themeShade="80"/>
            </w:tcBorders>
            <w:textDirection w:val="btLr"/>
            <w:vAlign w:val="center"/>
          </w:tcPr>
          <w:p w:rsidR="00910BD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910BD4" w:rsidRDefault="00910BD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w:t>
            </w:r>
          </w:p>
        </w:tc>
        <w:tc>
          <w:tcPr>
            <w:tcW w:w="939"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35</w:t>
            </w:r>
          </w:p>
        </w:tc>
        <w:tc>
          <w:tcPr>
            <w:tcW w:w="904"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70.0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w:t>
            </w:r>
          </w:p>
        </w:tc>
        <w:tc>
          <w:tcPr>
            <w:tcW w:w="99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0.0</w:t>
            </w:r>
          </w:p>
        </w:tc>
      </w:tr>
      <w:tr w:rsidR="00910BD4" w:rsidTr="005F5E3F">
        <w:trPr>
          <w:cantSplit/>
          <w:trHeight w:val="425"/>
        </w:trPr>
        <w:tc>
          <w:tcPr>
            <w:tcW w:w="426" w:type="dxa"/>
            <w:vMerge/>
            <w:tcBorders>
              <w:top w:val="single" w:sz="4" w:space="0" w:color="808080" w:themeColor="background1" w:themeShade="80"/>
            </w:tcBorders>
            <w:textDirection w:val="btLr"/>
            <w:vAlign w:val="center"/>
          </w:tcPr>
          <w:p w:rsidR="00910BD4"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910BD4" w:rsidRDefault="00910BD4"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w:t>
            </w:r>
          </w:p>
        </w:tc>
        <w:tc>
          <w:tcPr>
            <w:tcW w:w="939"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25</w:t>
            </w:r>
          </w:p>
        </w:tc>
        <w:tc>
          <w:tcPr>
            <w:tcW w:w="904"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50</w:t>
            </w:r>
          </w:p>
        </w:tc>
        <w:tc>
          <w:tcPr>
            <w:tcW w:w="99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910BD4" w:rsidRDefault="005F5E3F" w:rsidP="002E7263">
            <w:pPr>
              <w:jc w:val="right"/>
              <w:rPr>
                <w:rFonts w:asciiTheme="minorHAnsi" w:hAnsiTheme="minorHAnsi"/>
                <w:b/>
                <w:sz w:val="20"/>
                <w:szCs w:val="20"/>
              </w:rPr>
            </w:pPr>
            <w:r>
              <w:rPr>
                <w:rFonts w:asciiTheme="minorHAnsi" w:hAnsiTheme="minorHAnsi"/>
                <w:b/>
                <w:sz w:val="20"/>
                <w:szCs w:val="20"/>
              </w:rPr>
              <w:t>0.0</w:t>
            </w:r>
          </w:p>
        </w:tc>
      </w:tr>
    </w:tbl>
    <w:p w:rsidR="00910BD4"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910BD4" w:rsidRDefault="002B438D" w:rsidP="00ED3BDC">
      <w:r>
        <w:br w:type="page"/>
      </w:r>
    </w:p>
    <w:p w:rsidR="00910BD4" w:rsidRDefault="002B438D" w:rsidP="00ED3BDC">
      <w:pPr>
        <w:rPr>
          <w:b/>
          <w:sz w:val="28"/>
        </w:rPr>
      </w:pPr>
      <w:r>
        <w:rPr>
          <w:b/>
          <w:sz w:val="28"/>
        </w:rPr>
        <w:lastRenderedPageBreak/>
        <w:t>Appendix 2: Bathing water quality map</w:t>
      </w:r>
    </w:p>
    <w:p w:rsidR="00910BD4" w:rsidRDefault="00910BD4" w:rsidP="00ED3BDC"/>
    <w:p w:rsidR="00910BD4" w:rsidRDefault="001054C3" w:rsidP="00ED3BDC">
      <w:r>
        <w:rPr>
          <w:noProof/>
          <w:lang w:eastAsia="en-GB"/>
        </w:rPr>
        <w:drawing>
          <wp:inline distT="0" distB="0" distL="0" distR="0">
            <wp:extent cx="6188710" cy="8008919"/>
            <wp:effectExtent l="0" t="0" r="2540" b="0"/>
            <wp:docPr id="4" name="Picture 4" descr="D:\Projekti\BWD\BWD 2017\National reports\GIS\map\NationalReports\PNG\20180420\R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RO_20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910BD4" w:rsidSect="00344240">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EB" w:rsidRDefault="00EB63EB" w:rsidP="00ED3BDC">
      <w:r>
        <w:separator/>
      </w:r>
    </w:p>
  </w:endnote>
  <w:endnote w:type="continuationSeparator" w:id="0">
    <w:p w:rsidR="00EB63EB" w:rsidRDefault="00EB63EB" w:rsidP="00ED3BDC">
      <w:r>
        <w:continuationSeparator/>
      </w:r>
    </w:p>
  </w:endnote>
  <w:endnote w:type="continuationNotice" w:id="1">
    <w:p w:rsidR="00EB63EB" w:rsidRDefault="00EB63EB"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D4" w:rsidRDefault="00910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D4" w:rsidRDefault="00910B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D4" w:rsidRDefault="00910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EB" w:rsidRDefault="00EB63EB" w:rsidP="00ED3BDC">
      <w:r>
        <w:separator/>
      </w:r>
    </w:p>
  </w:footnote>
  <w:footnote w:type="continuationSeparator" w:id="0">
    <w:p w:rsidR="00EB63EB" w:rsidRDefault="00EB63EB" w:rsidP="00ED3BDC">
      <w:r>
        <w:continuationSeparator/>
      </w:r>
    </w:p>
  </w:footnote>
  <w:footnote w:type="continuationNotice" w:id="1">
    <w:p w:rsidR="00EB63EB" w:rsidRDefault="00EB63EB"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D4" w:rsidRDefault="00910B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D4" w:rsidRDefault="00910B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D4"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054C3"/>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0BD4"/>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B63EB"/>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pct.r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old.ms.ro/?pag=18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ld.ms.ro/?pag=18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ea.europa.eu/themes/water/interactive/bathing/state-of-bathing-waters"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s.ro/wp-content/uploads/2017/02/Profiluri-ape-imbaiere-2012.pdf" TargetMode="External"/><Relationship Id="rId14" Type="http://schemas.openxmlformats.org/officeDocument/2006/relationships/hyperlink" Target="http://ec.europa.eu/environment/water/index_en.htm"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Feuil1!$B$2:$B$12</c:f>
              <c:numCache>
                <c:formatCode>General</c:formatCode>
                <c:ptCount val="11"/>
                <c:pt idx="0">
                  <c:v>2.86E-2</c:v>
                </c:pt>
                <c:pt idx="1">
                  <c:v>2.0400000000000001E-2</c:v>
                </c:pt>
                <c:pt idx="2">
                  <c:v>8.1600000000000006E-2</c:v>
                </c:pt>
                <c:pt idx="3">
                  <c:v>2.0400000000000001E-2</c:v>
                </c:pt>
                <c:pt idx="4">
                  <c:v>0.87760000000000005</c:v>
                </c:pt>
                <c:pt idx="5">
                  <c:v>8.1600000000000006E-2</c:v>
                </c:pt>
                <c:pt idx="6">
                  <c:v>0.34689999999999999</c:v>
                </c:pt>
                <c:pt idx="7">
                  <c:v>0.22450000000000001</c:v>
                </c:pt>
                <c:pt idx="8">
                  <c:v>0.30609999999999998</c:v>
                </c:pt>
                <c:pt idx="9">
                  <c:v>0.69389999999999996</c:v>
                </c:pt>
                <c:pt idx="10">
                  <c:v>0.51019999999999999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Feuil1!$C$2:$C$12</c:f>
              <c:numCache>
                <c:formatCode>General</c:formatCode>
                <c:ptCount val="11"/>
                <c:pt idx="0">
                  <c:v>0.28570000000000001</c:v>
                </c:pt>
                <c:pt idx="1">
                  <c:v>0.97960000000000003</c:v>
                </c:pt>
                <c:pt idx="2">
                  <c:v>1</c:v>
                </c:pt>
                <c:pt idx="3">
                  <c:v>1</c:v>
                </c:pt>
                <c:pt idx="4">
                  <c:v>1</c:v>
                </c:pt>
                <c:pt idx="5">
                  <c:v>1</c:v>
                </c:pt>
                <c:pt idx="6">
                  <c:v>1</c:v>
                </c:pt>
                <c:pt idx="7">
                  <c:v>1</c:v>
                </c:pt>
                <c:pt idx="8">
                  <c:v>0.97960000000000003</c:v>
                </c:pt>
                <c:pt idx="9">
                  <c:v>1</c:v>
                </c:pt>
                <c:pt idx="10">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Feuil1!$D$2:$D$12</c:f>
              <c:numCache>
                <c:formatCode>General</c:formatCode>
                <c:ptCount val="11"/>
                <c:pt idx="0">
                  <c:v>0.2</c:v>
                </c:pt>
                <c:pt idx="1">
                  <c:v>2.0400000000000001E-2</c:v>
                </c:pt>
                <c:pt idx="2">
                  <c:v>0</c:v>
                </c:pt>
                <c:pt idx="3">
                  <c:v>0</c:v>
                </c:pt>
                <c:pt idx="4">
                  <c:v>0</c:v>
                </c:pt>
                <c:pt idx="5">
                  <c:v>0</c:v>
                </c:pt>
                <c:pt idx="6">
                  <c:v>0</c:v>
                </c:pt>
                <c:pt idx="7">
                  <c:v>0</c:v>
                </c:pt>
                <c:pt idx="8">
                  <c:v>2.0400000000000001E-2</c:v>
                </c:pt>
                <c:pt idx="9">
                  <c:v>0</c:v>
                </c:pt>
                <c:pt idx="10">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Feuil1!$E$2:$E$12</c:f>
              <c:numCache>
                <c:formatCode>General</c:formatCode>
                <c:ptCount val="11"/>
                <c:pt idx="0">
                  <c:v>0.51429999999999998</c:v>
                </c:pt>
                <c:pt idx="1">
                  <c:v>0</c:v>
                </c:pt>
                <c:pt idx="2">
                  <c:v>0</c:v>
                </c:pt>
                <c:pt idx="3">
                  <c:v>0</c:v>
                </c:pt>
                <c:pt idx="4">
                  <c:v>0</c:v>
                </c:pt>
                <c:pt idx="5">
                  <c:v>0</c:v>
                </c:pt>
                <c:pt idx="6">
                  <c:v>0</c:v>
                </c:pt>
                <c:pt idx="7">
                  <c:v>0</c:v>
                </c:pt>
                <c:pt idx="8">
                  <c:v>0</c:v>
                </c:pt>
                <c:pt idx="9">
                  <c:v>0</c:v>
                </c:pt>
                <c:pt idx="10">
                  <c:v>0</c:v>
                </c:pt>
              </c:numCache>
            </c:numRef>
          </c:val>
          <c:smooth val="0"/>
        </c:ser>
        <c:dLbls>
          <c:showLegendKey val="0"/>
          <c:showVal val="0"/>
          <c:showCatName val="0"/>
          <c:showSerName val="0"/>
          <c:showPercent val="0"/>
          <c:showBubbleSize val="0"/>
        </c:dLbls>
        <c:marker val="1"/>
        <c:smooth val="0"/>
        <c:axId val="179570176"/>
        <c:axId val="179571712"/>
      </c:lineChart>
      <c:catAx>
        <c:axId val="179570176"/>
        <c:scaling>
          <c:orientation val="minMax"/>
        </c:scaling>
        <c:delete val="0"/>
        <c:axPos val="b"/>
        <c:numFmt formatCode="@" sourceLinked="0"/>
        <c:majorTickMark val="out"/>
        <c:minorTickMark val="none"/>
        <c:tickLblPos val="nextTo"/>
        <c:crossAx val="179571712"/>
        <c:crosses val="autoZero"/>
        <c:auto val="1"/>
        <c:lblAlgn val="ctr"/>
        <c:lblOffset val="100"/>
        <c:noMultiLvlLbl val="0"/>
      </c:catAx>
      <c:valAx>
        <c:axId val="17957171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9570176"/>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4ECE-5A78-4295-8A4A-9454F0C9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3037</TotalTime>
  <Pages>7</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2018-04-25T16:12:00Z</dcterms:modified>
</cp:coreProperties>
</file>