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50D" w:rsidRDefault="0036350D" w:rsidP="00ED3BDC"/>
    <w:p w:rsidR="0036350D" w:rsidRDefault="00E95009" w:rsidP="00B67D96">
      <w:pPr>
        <w:jc w:val="center"/>
        <w:rPr>
          <w:rFonts w:cs="Arial"/>
          <w:b/>
          <w:bCs/>
          <w:sz w:val="32"/>
        </w:rPr>
      </w:pPr>
      <w:r>
        <w:rPr>
          <w:b/>
          <w:sz w:val="32"/>
        </w:rPr>
        <w:t xml:space="preserve">BWD Report For the Bathing Season </w:t>
      </w:r>
      <w:r>
        <w:rPr>
          <w:rFonts w:cs="Arial"/>
          <w:b/>
          <w:bCs/>
          <w:sz w:val="32"/>
        </w:rPr>
        <w:t>2017</w:t>
      </w:r>
    </w:p>
    <w:p w:rsidR="0036350D" w:rsidRDefault="0079462E" w:rsidP="00B67D96">
      <w:pPr>
        <w:jc w:val="center"/>
        <w:rPr>
          <w:b/>
          <w:sz w:val="40"/>
        </w:rPr>
      </w:pPr>
      <w:r>
        <w:rPr>
          <w:b/>
          <w:sz w:val="40"/>
        </w:rPr>
        <w:t>Portugal</w:t>
      </w:r>
    </w:p>
    <w:p w:rsidR="0036350D" w:rsidRDefault="0036350D" w:rsidP="00ED3BDC"/>
    <w:p w:rsidR="0036350D" w:rsidRDefault="0036350D" w:rsidP="00ED3BDC"/>
    <w:p w:rsidR="0036350D"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Portugal.</w:t>
      </w:r>
    </w:p>
    <w:p w:rsidR="0036350D" w:rsidRDefault="0036350D" w:rsidP="00ED3BDC"/>
    <w:p w:rsidR="0036350D" w:rsidRDefault="0036350D" w:rsidP="00ED3BDC"/>
    <w:p w:rsidR="0036350D" w:rsidRDefault="0079462E" w:rsidP="00ED3BDC">
      <w:pPr>
        <w:pStyle w:val="Heading1"/>
      </w:pPr>
      <w:r>
        <w:t xml:space="preserve">BWD reporting in the season </w:t>
      </w:r>
      <w:r>
        <w:rPr>
          <w:szCs w:val="28"/>
        </w:rPr>
        <w:t>2017</w:t>
      </w:r>
    </w:p>
    <w:p w:rsidR="0036350D" w:rsidRDefault="0036350D" w:rsidP="00ED3BDC"/>
    <w:p w:rsidR="0036350D"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36350D" w:rsidRDefault="0079462E" w:rsidP="00442644">
                            <w:pPr>
                              <w:jc w:val="center"/>
                              <w:rPr>
                                <w:rFonts w:asciiTheme="minorHAnsi" w:hAnsiTheme="minorHAnsi"/>
                                <w:b/>
                              </w:rPr>
                            </w:pPr>
                            <w:r>
                              <w:rPr>
                                <w:rFonts w:asciiTheme="minorHAnsi" w:hAnsiTheme="minorHAnsi"/>
                                <w:b/>
                              </w:rPr>
                              <w:t>Bathing waters of Portugal in 2017</w:t>
                            </w:r>
                          </w:p>
                          <w:p w:rsidR="0036350D" w:rsidRDefault="0036350D" w:rsidP="00ED3BDC">
                            <w:pPr>
                              <w:rPr>
                                <w:rFonts w:asciiTheme="minorHAnsi" w:hAnsiTheme="minorHAnsi"/>
                                <w:sz w:val="20"/>
                              </w:rPr>
                            </w:pPr>
                          </w:p>
                          <w:p w:rsidR="0036350D"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603</w:t>
                            </w:r>
                          </w:p>
                          <w:p w:rsidR="0036350D"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480</w:t>
                            </w:r>
                          </w:p>
                          <w:p w:rsidR="0036350D"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123</w:t>
                            </w:r>
                          </w:p>
                          <w:p w:rsidR="0036350D" w:rsidRDefault="0036350D" w:rsidP="00DB3D3B">
                            <w:pPr>
                              <w:tabs>
                                <w:tab w:val="right" w:pos="3544"/>
                              </w:tabs>
                              <w:rPr>
                                <w:rFonts w:asciiTheme="minorHAnsi" w:hAnsiTheme="minorHAnsi"/>
                                <w:sz w:val="20"/>
                              </w:rPr>
                            </w:pPr>
                          </w:p>
                          <w:p w:rsidR="0036350D"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135 / 154 days</w:t>
                            </w:r>
                          </w:p>
                          <w:p w:rsidR="0036350D"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1 May to 15 Oct</w:t>
                            </w:r>
                          </w:p>
                          <w:p w:rsidR="0036350D"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13 May to 30 Sep</w:t>
                            </w:r>
                          </w:p>
                          <w:p w:rsidR="0036350D" w:rsidRDefault="0036350D" w:rsidP="00ED3BDC">
                            <w:pPr>
                              <w:rPr>
                                <w:rFonts w:asciiTheme="minorHAnsi" w:hAnsiTheme="minorHAnsi"/>
                                <w:sz w:val="20"/>
                              </w:rPr>
                            </w:pPr>
                          </w:p>
                          <w:p w:rsidR="0036350D"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3801</w:t>
                            </w:r>
                          </w:p>
                          <w:p w:rsidR="0036350D" w:rsidRDefault="0036350D" w:rsidP="00ED3BDC">
                            <w:pPr>
                              <w:rPr>
                                <w:rFonts w:asciiTheme="minorHAnsi" w:hAnsiTheme="minorHAnsi"/>
                                <w:sz w:val="20"/>
                              </w:rPr>
                            </w:pPr>
                          </w:p>
                          <w:p w:rsidR="0036350D"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95 %</w:t>
                            </w:r>
                          </w:p>
                          <w:p w:rsidR="0036350D" w:rsidRDefault="0079462E" w:rsidP="00ED3BDC">
                            <w:pPr>
                              <w:rPr>
                                <w:rFonts w:asciiTheme="minorHAnsi" w:hAnsiTheme="minorHAnsi"/>
                                <w:b/>
                                <w:sz w:val="20"/>
                              </w:rPr>
                            </w:pPr>
                            <w:r>
                              <w:rPr>
                                <w:rFonts w:asciiTheme="minorHAnsi" w:hAnsiTheme="minorHAnsi"/>
                                <w:b/>
                                <w:sz w:val="20"/>
                              </w:rPr>
                              <w:t xml:space="preserve">with good or excellent </w:t>
                            </w:r>
                          </w:p>
                          <w:p w:rsidR="0036350D" w:rsidRDefault="0079462E" w:rsidP="00ED3BDC">
                            <w:pPr>
                              <w:rPr>
                                <w:rFonts w:asciiTheme="minorHAnsi" w:hAnsiTheme="minorHAnsi"/>
                                <w:b/>
                                <w:sz w:val="20"/>
                              </w:rPr>
                            </w:pPr>
                            <w:r>
                              <w:rPr>
                                <w:rFonts w:asciiTheme="minorHAnsi" w:hAnsiTheme="minorHAnsi"/>
                                <w:b/>
                                <w:sz w:val="20"/>
                              </w:rPr>
                              <w:t>water quality</w:t>
                            </w:r>
                          </w:p>
                          <w:p w:rsidR="0036350D" w:rsidRDefault="0036350D" w:rsidP="00ED3BDC">
                            <w:pPr>
                              <w:rPr>
                                <w:rFonts w:asciiTheme="minorHAnsi" w:hAnsiTheme="minorHAnsi"/>
                                <w:sz w:val="20"/>
                              </w:rPr>
                            </w:pPr>
                          </w:p>
                          <w:p w:rsidR="0036350D"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2011</w:t>
                            </w:r>
                          </w:p>
                          <w:p w:rsidR="0036350D"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Default="0079462E" w:rsidP="00442644">
                      <w:pPr>
                        <w:jc w:val="center"/>
                        <w:rPr>
                          <w:rFonts w:asciiTheme="minorHAnsi" w:hAnsiTheme="minorHAnsi"/>
                          <w:b/>
                        </w:rPr>
                      </w:pPr>
                      <w:r>
                        <w:rPr>
                          <w:rFonts w:asciiTheme="minorHAnsi" w:hAnsiTheme="minorHAnsi"/>
                          <w:b/>
                        </w:rPr>
                        <w:t>Bathing waters of Portugal in 2017</w:t>
                      </w:r>
                    </w:p>
                    <w:p w:rsidRDefault="0079462E" w:rsidP="00ED3BDC">
                      <w:pPr>
                        <w:rPr>
                          <w:rFonts w:asciiTheme="minorHAnsi" w:hAnsiTheme="minorHAnsi"/>
                          <w:sz w:val="20"/>
                        </w:rPr>
                      </w:pPr>
                    </w:p>
                    <w:p w:rsidRDefault="008B5077" w:rsidP="00DB3D3B">
                      <w:pPr>
                        <w:tabs>
                          <w:tab w:val="right" w:pos="3544"/>
                        </w:tabs>
                        <w:rPr>
                          <w:rFonts w:asciiTheme="minorHAnsi" w:hAnsiTheme="minorHAnsi"/>
                          <w:b/>
                          <w:sz w:val="20"/>
                        </w:rPr>
                      </w:pPr>
                      <w:r>
                        <w:rPr>
                          <w:rFonts w:asciiTheme="minorHAnsi" w:hAnsiTheme="minorHAnsi"/>
                          <w:b/>
                          <w:sz w:val="20"/>
                        </w:rPr>
                        <w:t>Total reported </w:t>
                      </w:r>
                      <w:r>
                        <w:rPr>
                          <w:rFonts w:asciiTheme="minorHAnsi" w:hAnsiTheme="minorHAnsi"/>
                          <w:b/>
                          <w:sz w:val="20"/>
                        </w:rPr>
                        <w:tab/>
                        <w:t>603</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480</w:t>
                      </w:r>
                    </w:p>
                    <w:p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123</w:t>
                      </w:r>
                    </w:p>
                    <w:p w:rsidRDefault="001111CA" w:rsidP="00DB3D3B">
                      <w:pPr>
                        <w:tabs>
                          <w:tab w:val="right" w:pos="3544"/>
                        </w:tabs>
                        <w:rPr>
                          <w:rFonts w:asciiTheme="minorHAnsi" w:hAnsiTheme="minorHAnsi"/>
                          <w:sz w:val="20"/>
                        </w:rPr>
                      </w:pPr>
                    </w:p>
                    <w:p w:rsidRDefault="008A3C2A" w:rsidP="00DB3D3B">
                      <w:pPr>
                        <w:tabs>
                          <w:tab w:val="right" w:pos="3544"/>
                        </w:tabs>
                        <w:rPr>
                          <w:rFonts w:asciiTheme="minorHAnsi" w:hAnsiTheme="minorHAnsi"/>
                          <w:b/>
                          <w:sz w:val="20"/>
                        </w:rPr>
                      </w:pPr>
                      <w:r>
                        <w:rPr>
                          <w:rFonts w:asciiTheme="minorHAnsi" w:hAnsiTheme="minorHAnsi"/>
                          <w:b/>
                          <w:sz w:val="20"/>
                        </w:rPr>
                        <w:t>Max season period </w:t>
                      </w:r>
                      <w:r>
                        <w:rPr>
                          <w:rFonts w:asciiTheme="minorHAnsi" w:hAnsiTheme="minorHAnsi"/>
                          <w:b/>
                          <w:sz w:val="20"/>
                        </w:rPr>
                        <w:tab/>
                      </w:r>
                      <w:r>
                        <w:rPr>
                          <w:rFonts w:asciiTheme="minorHAnsi" w:hAnsiTheme="minorHAnsi"/>
                          <w:b/>
                          <w:sz w:val="20"/>
                        </w:rPr>
                        <w:t>135 / 154 days</w:t>
                      </w:r>
                    </w:p>
                    <w:p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r>
                      <w:r>
                        <w:rPr>
                          <w:rFonts w:asciiTheme="minorHAnsi" w:hAnsiTheme="minorHAnsi"/>
                          <w:sz w:val="20"/>
                        </w:rPr>
                        <w:t>1 May to 15 Oct</w:t>
                      </w:r>
                    </w:p>
                    <w:p w:rsidRDefault="0079462E"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r>
                      <w:r>
                        <w:rPr>
                          <w:rFonts w:asciiTheme="minorHAnsi" w:hAnsiTheme="minorHAnsi"/>
                          <w:sz w:val="20"/>
                        </w:rPr>
                        <w:t>13 May to 30 Sep</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r>
                      <w:r>
                        <w:rPr>
                          <w:rFonts w:asciiTheme="minorHAnsi" w:hAnsiTheme="minorHAnsi"/>
                          <w:b/>
                          <w:sz w:val="20"/>
                        </w:rPr>
                        <w:t>3801</w:t>
                      </w:r>
                    </w:p>
                    <w:p w:rsidRDefault="0079462E" w:rsidP="00ED3BDC">
                      <w:pPr>
                        <w:rPr>
                          <w:rFonts w:asciiTheme="minorHAnsi" w:hAnsiTheme="minorHAnsi"/>
                          <w:sz w:val="20"/>
                        </w:rPr>
                      </w:pPr>
                    </w:p>
                    <w:p w:rsidRDefault="0079462E" w:rsidP="00DB3D3B">
                      <w:pPr>
                        <w:tabs>
                          <w:tab w:val="right" w:pos="3544"/>
                        </w:tabs>
                        <w:rPr>
                          <w:rFonts w:asciiTheme="minorHAnsi" w:hAnsiTheme="minorHAnsi"/>
                          <w:b/>
                          <w:sz w:val="20"/>
                        </w:rPr>
                      </w:pPr>
                      <w:r>
                        <w:rPr>
                          <w:rFonts w:asciiTheme="minorHAnsi" w:hAnsiTheme="minorHAnsi"/>
                          <w:b/>
                          <w:sz w:val="20"/>
                        </w:rPr>
                        <w:t>Share of bathing waters </w:t>
                      </w:r>
                      <w:r>
                        <w:rPr>
                          <w:rFonts w:asciiTheme="minorHAnsi" w:hAnsiTheme="minorHAnsi"/>
                          <w:b/>
                          <w:sz w:val="20"/>
                        </w:rPr>
                        <w:tab/>
                      </w:r>
                      <w:r>
                        <w:rPr>
                          <w:rFonts w:asciiTheme="minorHAnsi" w:hAnsiTheme="minorHAnsi"/>
                          <w:b/>
                          <w:sz w:val="20"/>
                        </w:rPr>
                        <w:t>95 %</w:t>
                      </w:r>
                    </w:p>
                    <w:p w:rsidRDefault="0079462E" w:rsidP="00ED3BDC">
                      <w:pPr>
                        <w:rPr>
                          <w:rFonts w:asciiTheme="minorHAnsi" w:hAnsiTheme="minorHAnsi"/>
                          <w:b/>
                          <w:sz w:val="20"/>
                        </w:rPr>
                      </w:pPr>
                      <w:r>
                        <w:rPr>
                          <w:rFonts w:asciiTheme="minorHAnsi" w:hAnsiTheme="minorHAnsi"/>
                          <w:b/>
                          <w:sz w:val="20"/>
                        </w:rPr>
                        <w:t>with good or excellent </w:t>
                      </w:r>
                    </w:p>
                    <w:p w:rsidRDefault="0079462E" w:rsidP="00ED3BDC">
                      <w:pPr>
                        <w:rPr>
                          <w:rFonts w:asciiTheme="minorHAnsi" w:hAnsiTheme="minorHAnsi"/>
                          <w:b/>
                          <w:sz w:val="20"/>
                        </w:rPr>
                      </w:pPr>
                      <w:r>
                        <w:rPr>
                          <w:rFonts w:asciiTheme="minorHAnsi" w:hAnsiTheme="minorHAnsi"/>
                          <w:b/>
                          <w:sz w:val="20"/>
                        </w:rPr>
                        <w:t>water quality</w:t>
                      </w:r>
                    </w:p>
                    <w:p w:rsidRDefault="0079462E" w:rsidP="00ED3BDC">
                      <w:pPr>
                        <w:rPr>
                          <w:rFonts w:asciiTheme="minorHAnsi" w:hAnsiTheme="minorHAnsi"/>
                          <w:sz w:val="20"/>
                        </w:rPr>
                      </w:pPr>
                    </w:p>
                    <w:p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r>
                      <w:r>
                        <w:rPr>
                          <w:rFonts w:asciiTheme="minorHAnsi" w:hAnsiTheme="minorHAnsi"/>
                          <w:b/>
                          <w:sz w:val="20"/>
                        </w:rPr>
                        <w:t>2011</w:t>
                      </w:r>
                    </w:p>
                    <w:p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603 bathing waters have been reported in Portugal. For each bathing water, five groups of parameters have been delivered</w:t>
      </w:r>
      <w:r>
        <w:rPr>
          <w:rStyle w:val="FootnoteReference"/>
        </w:rPr>
        <w:footnoteReference w:id="3"/>
      </w:r>
      <w:r>
        <w:t>:</w:t>
      </w:r>
    </w:p>
    <w:p w:rsidR="0036350D"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36350D"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36350D"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36350D"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36350D"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36350D" w:rsidRDefault="0036350D" w:rsidP="00ED3BDC"/>
    <w:p w:rsidR="0036350D" w:rsidRDefault="0079462E" w:rsidP="00ED3BDC">
      <w:r>
        <w:t xml:space="preserve">The authorities of </w:t>
      </w:r>
      <w:r>
        <w:rPr>
          <w:rFonts w:ascii="Cambria" w:hAnsi="Cambria"/>
        </w:rPr>
        <w:t>Portugal</w:t>
      </w:r>
      <w:r>
        <w:t xml:space="preserve"> report data according to the new BWD (2006/7/EC) since the season </w:t>
      </w:r>
      <w:r>
        <w:rPr>
          <w:rFonts w:ascii="Cambria" w:hAnsi="Cambria"/>
        </w:rPr>
        <w:t>2011</w:t>
      </w:r>
      <w:r>
        <w:t>.</w:t>
      </w:r>
    </w:p>
    <w:p w:rsidR="0036350D" w:rsidRDefault="0036350D" w:rsidP="00ED3BDC"/>
    <w:p w:rsidR="0036350D" w:rsidRDefault="0079462E" w:rsidP="00ED3BDC">
      <w:r>
        <w:t xml:space="preserve">Altogether, </w:t>
      </w:r>
      <w:r>
        <w:rPr>
          <w:rFonts w:ascii="Cambria" w:hAnsi="Cambria"/>
          <w:b/>
        </w:rPr>
        <w:t>603</w:t>
      </w:r>
      <w:r>
        <w:rPr>
          <w:rFonts w:ascii="Cambria" w:hAnsi="Cambria"/>
        </w:rPr>
        <w:t xml:space="preserve"> </w:t>
      </w:r>
      <w:r>
        <w:rPr>
          <w:b/>
        </w:rPr>
        <w:t xml:space="preserve">bathing waters </w:t>
      </w:r>
      <w:r>
        <w:t xml:space="preserve">have been reported – 2.8% of all bathing waters in Europe. </w:t>
      </w:r>
      <w:r w:rsidR="003B3ACA">
        <w:t>24</w:t>
      </w:r>
      <w:r>
        <w:t xml:space="preserve"> bathing waters have been newly reported in the recent season. 80% of bathing waters in Portugal are of coastal type; the other 20% are inland. </w:t>
      </w:r>
      <w:r>
        <w:rPr>
          <w:b/>
        </w:rPr>
        <w:t>3801 samples</w:t>
      </w:r>
      <w:r>
        <w:t xml:space="preserve"> were taken at bathing waters throughout the season – 6 per bathing water on average.</w:t>
      </w:r>
    </w:p>
    <w:p w:rsidR="0036350D" w:rsidRDefault="0036350D" w:rsidP="00ED3BDC"/>
    <w:p w:rsidR="0036350D" w:rsidRDefault="002B438D" w:rsidP="00ED3BDC">
      <w:r>
        <w:lastRenderedPageBreak/>
        <w:t>The maximum bathing season period was from 1 May to 15 October for coastal bathing waters, i.e. 154 days altogether.</w:t>
      </w:r>
      <w:r w:rsidR="003B3ACA">
        <w:t xml:space="preserve"> </w:t>
      </w:r>
      <w:r w:rsidR="00E61218">
        <w:t>Maximum inland bathing season period was from 13 May to 30 September, i.e. 135 days.</w:t>
      </w:r>
      <w:r w:rsidR="003B3ACA">
        <w:t xml:space="preserve"> </w:t>
      </w:r>
      <w:r w:rsidR="00E61218">
        <w:t>Seas</w:t>
      </w:r>
      <w:r w:rsidR="003B3ACA">
        <w:t>on duration varies depending on the bathing water.</w:t>
      </w:r>
    </w:p>
    <w:p w:rsidR="0036350D" w:rsidRDefault="0036350D" w:rsidP="00ED3BDC"/>
    <w:p w:rsidR="0036350D" w:rsidRDefault="002B438D" w:rsidP="00ED3BDC">
      <w:r>
        <w:t xml:space="preserve">Detailed information on bathing waters is available from national portal at </w:t>
      </w:r>
      <w:hyperlink r:id="rId9" w:history="1">
        <w:r w:rsidR="003B3ACA" w:rsidRPr="003F4ABB">
          <w:rPr>
            <w:rStyle w:val="Hyperlink"/>
          </w:rPr>
          <w:t>http://www.apambiente.pt/index.php?ref=19&amp;subref=906</w:t>
        </w:r>
      </w:hyperlink>
      <w:r>
        <w:t>.</w:t>
      </w:r>
    </w:p>
    <w:p w:rsidR="0036350D" w:rsidRDefault="0036350D" w:rsidP="00ED3BDC"/>
    <w:p w:rsidR="0036350D" w:rsidRDefault="0036350D" w:rsidP="00ED3BDC"/>
    <w:p w:rsidR="0036350D" w:rsidRDefault="002B438D" w:rsidP="00ED3BDC">
      <w:pPr>
        <w:pStyle w:val="Heading1"/>
      </w:pPr>
      <w:r>
        <w:t>Assessment methodology</w:t>
      </w:r>
      <w:r>
        <w:rPr>
          <w:rStyle w:val="FootnoteReference"/>
        </w:rPr>
        <w:footnoteReference w:id="4"/>
      </w:r>
    </w:p>
    <w:p w:rsidR="0036350D" w:rsidRDefault="0036350D" w:rsidP="00ED3BDC"/>
    <w:p w:rsidR="0036350D"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36350D" w:rsidRDefault="0036350D" w:rsidP="00ED3BDC"/>
    <w:p w:rsidR="0036350D" w:rsidRDefault="003F038E" w:rsidP="00ED3BDC">
      <w:r>
        <w:t>The monitoring requirements under the Directive are:</w:t>
      </w:r>
    </w:p>
    <w:p w:rsidR="0036350D"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36350D"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36350D"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36350D" w:rsidRDefault="0036350D" w:rsidP="00ED3BDC"/>
    <w:p w:rsidR="0036350D" w:rsidRDefault="003F038E" w:rsidP="003F038E">
      <w:r>
        <w:t xml:space="preserve">If these rules are satisfied, the bathing water is categorised as 'sampling frequency satisfied'. If not all monitoring requirements are fulfilled the bathing water is categorised as 'not enough samples'. 97.5%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36350D" w:rsidRDefault="0036350D" w:rsidP="00ED3BDC"/>
    <w:p w:rsidR="0036350D" w:rsidRDefault="00484359" w:rsidP="001F33BA">
      <w:pPr>
        <w:pStyle w:val="Caption"/>
        <w:keepNext/>
        <w:spacing w:after="120"/>
      </w:pPr>
      <w:bookmarkStart w:id="0" w:name="_Ref451270757"/>
      <w:r>
        <w:t xml:space="preserve">Table </w:t>
      </w:r>
      <w:r>
        <w:fldChar w:fldCharType="begin"/>
      </w:r>
      <w:r>
        <w:instrText xml:space="preserve"> SEQ Table \* ARABIC </w:instrText>
      </w:r>
      <w:r>
        <w:fldChar w:fldCharType="separate"/>
      </w:r>
      <w:r>
        <w:t>1</w:t>
      </w:r>
      <w:r>
        <w:fldChar w:fldCharType="end"/>
      </w:r>
      <w:bookmarkEnd w:id="0"/>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36350D" w:rsidTr="00484359">
        <w:trPr>
          <w:trHeight w:val="343"/>
        </w:trPr>
        <w:tc>
          <w:tcPr>
            <w:tcW w:w="6379" w:type="dxa"/>
            <w:shd w:val="clear" w:color="auto" w:fill="F2F2F2" w:themeFill="background1" w:themeFillShade="F2"/>
            <w:vAlign w:val="center"/>
          </w:tcPr>
          <w:p w:rsidR="0036350D" w:rsidRDefault="0036350D" w:rsidP="00484359">
            <w:pPr>
              <w:jc w:val="left"/>
              <w:rPr>
                <w:rFonts w:asciiTheme="minorHAnsi" w:hAnsiTheme="minorHAnsi"/>
                <w:b/>
                <w:sz w:val="20"/>
              </w:rPr>
            </w:pPr>
          </w:p>
        </w:tc>
        <w:tc>
          <w:tcPr>
            <w:tcW w:w="1701" w:type="dxa"/>
            <w:shd w:val="clear" w:color="auto" w:fill="F2F2F2" w:themeFill="background1" w:themeFillShade="F2"/>
            <w:vAlign w:val="center"/>
          </w:tcPr>
          <w:p w:rsidR="0036350D"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36350D" w:rsidRDefault="00484359" w:rsidP="00484359">
            <w:pPr>
              <w:jc w:val="left"/>
              <w:rPr>
                <w:rFonts w:asciiTheme="minorHAnsi" w:hAnsiTheme="minorHAnsi"/>
                <w:b/>
                <w:sz w:val="20"/>
              </w:rPr>
            </w:pPr>
            <w:r>
              <w:rPr>
                <w:rFonts w:asciiTheme="minorHAnsi" w:hAnsiTheme="minorHAnsi"/>
                <w:b/>
                <w:sz w:val="20"/>
              </w:rPr>
              <w:t>Share of total [%]</w:t>
            </w:r>
          </w:p>
        </w:tc>
      </w:tr>
      <w:tr w:rsidR="0036350D" w:rsidTr="00484359">
        <w:tc>
          <w:tcPr>
            <w:tcW w:w="6379" w:type="dxa"/>
          </w:tcPr>
          <w:p w:rsidR="0036350D"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36350D"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36350D" w:rsidRDefault="006D2330" w:rsidP="00B14C10">
            <w:pPr>
              <w:jc w:val="right"/>
              <w:rPr>
                <w:rFonts w:asciiTheme="minorHAnsi" w:hAnsiTheme="minorHAnsi"/>
                <w:sz w:val="20"/>
              </w:rPr>
            </w:pPr>
            <w:r>
              <w:rPr>
                <w:rFonts w:asciiTheme="minorHAnsi" w:hAnsiTheme="minorHAnsi"/>
                <w:sz w:val="20"/>
              </w:rPr>
              <w:t>588</w:t>
            </w:r>
          </w:p>
        </w:tc>
        <w:tc>
          <w:tcPr>
            <w:tcW w:w="1701" w:type="dxa"/>
            <w:vAlign w:val="center"/>
          </w:tcPr>
          <w:p w:rsidR="0036350D" w:rsidRDefault="004D61EC" w:rsidP="00B14C10">
            <w:pPr>
              <w:jc w:val="right"/>
              <w:rPr>
                <w:rFonts w:asciiTheme="minorHAnsi" w:hAnsiTheme="minorHAnsi"/>
                <w:b/>
                <w:sz w:val="20"/>
              </w:rPr>
            </w:pPr>
            <w:r>
              <w:rPr>
                <w:rFonts w:asciiTheme="minorHAnsi" w:hAnsiTheme="minorHAnsi"/>
                <w:sz w:val="20"/>
              </w:rPr>
              <w:t>97.5%</w:t>
            </w:r>
          </w:p>
        </w:tc>
      </w:tr>
      <w:tr w:rsidR="0036350D" w:rsidTr="00484359">
        <w:tc>
          <w:tcPr>
            <w:tcW w:w="6379" w:type="dxa"/>
          </w:tcPr>
          <w:p w:rsidR="0036350D"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36350D" w:rsidRDefault="00025D01" w:rsidP="00B249A7">
            <w:pPr>
              <w:jc w:val="left"/>
              <w:rPr>
                <w:rFonts w:asciiTheme="minorHAnsi" w:hAnsiTheme="minorHAnsi"/>
                <w:sz w:val="20"/>
              </w:rPr>
            </w:pPr>
            <w:r>
              <w:rPr>
                <w:rFonts w:asciiTheme="minorHAnsi" w:hAnsiTheme="minorHAnsi"/>
                <w:color w:val="595959" w:themeColor="text1" w:themeTint="A6"/>
                <w:sz w:val="20"/>
              </w:rPr>
              <w:t xml:space="preserve">These bathing waters exist throughout the last assessment period but have not been monitored throughout the period according to provisions for </w:t>
            </w:r>
            <w:r>
              <w:rPr>
                <w:rFonts w:asciiTheme="minorHAnsi" w:hAnsiTheme="minorHAnsi"/>
                <w:color w:val="595959" w:themeColor="text1" w:themeTint="A6"/>
                <w:sz w:val="20"/>
              </w:rPr>
              <w:lastRenderedPageBreak/>
              <w:t>various individual reasons. They may be quality-classified if there is an adequate volume of samples available for credible classification.</w:t>
            </w:r>
          </w:p>
        </w:tc>
        <w:tc>
          <w:tcPr>
            <w:tcW w:w="1701" w:type="dxa"/>
            <w:vAlign w:val="center"/>
          </w:tcPr>
          <w:p w:rsidR="0036350D" w:rsidRDefault="006710BD" w:rsidP="00B14C10">
            <w:pPr>
              <w:jc w:val="right"/>
              <w:rPr>
                <w:rFonts w:asciiTheme="minorHAnsi" w:hAnsiTheme="minorHAnsi"/>
                <w:b/>
                <w:sz w:val="20"/>
              </w:rPr>
            </w:pPr>
            <w:r>
              <w:rPr>
                <w:rFonts w:asciiTheme="minorHAnsi" w:hAnsiTheme="minorHAnsi"/>
                <w:sz w:val="20"/>
              </w:rPr>
              <w:lastRenderedPageBreak/>
              <w:t>0</w:t>
            </w:r>
          </w:p>
        </w:tc>
        <w:tc>
          <w:tcPr>
            <w:tcW w:w="1701" w:type="dxa"/>
            <w:vAlign w:val="center"/>
          </w:tcPr>
          <w:p w:rsidR="0036350D" w:rsidRDefault="004D61EC" w:rsidP="00484359">
            <w:pPr>
              <w:jc w:val="right"/>
              <w:rPr>
                <w:rFonts w:asciiTheme="minorHAnsi" w:hAnsiTheme="minorHAnsi"/>
                <w:b/>
                <w:sz w:val="20"/>
              </w:rPr>
            </w:pPr>
            <w:r>
              <w:rPr>
                <w:rFonts w:asciiTheme="minorHAnsi" w:hAnsiTheme="minorHAnsi"/>
                <w:sz w:val="20"/>
              </w:rPr>
              <w:t>0.0%</w:t>
            </w:r>
          </w:p>
        </w:tc>
      </w:tr>
      <w:tr w:rsidR="0036350D" w:rsidTr="00484359">
        <w:tc>
          <w:tcPr>
            <w:tcW w:w="6379" w:type="dxa"/>
          </w:tcPr>
          <w:p w:rsidR="0036350D" w:rsidRDefault="00D8207F" w:rsidP="00484359">
            <w:pPr>
              <w:jc w:val="left"/>
              <w:rPr>
                <w:rFonts w:asciiTheme="minorHAnsi" w:hAnsiTheme="minorHAnsi"/>
                <w:b/>
                <w:sz w:val="20"/>
              </w:rPr>
            </w:pPr>
            <w:r>
              <w:rPr>
                <w:rFonts w:asciiTheme="minorHAnsi" w:hAnsiTheme="minorHAnsi"/>
                <w:b/>
                <w:sz w:val="20"/>
              </w:rPr>
              <w:lastRenderedPageBreak/>
              <w:t>BWs that are new, subject to changes or closed in 2017</w:t>
            </w:r>
          </w:p>
          <w:p w:rsidR="0036350D"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36350D" w:rsidRDefault="006710BD" w:rsidP="00B14C10">
            <w:pPr>
              <w:jc w:val="right"/>
              <w:rPr>
                <w:rFonts w:asciiTheme="minorHAnsi" w:hAnsiTheme="minorHAnsi"/>
                <w:b/>
                <w:sz w:val="20"/>
              </w:rPr>
            </w:pPr>
            <w:r>
              <w:rPr>
                <w:rFonts w:asciiTheme="minorHAnsi" w:hAnsiTheme="minorHAnsi"/>
                <w:sz w:val="20"/>
              </w:rPr>
              <w:t>15</w:t>
            </w:r>
          </w:p>
        </w:tc>
        <w:tc>
          <w:tcPr>
            <w:tcW w:w="1701" w:type="dxa"/>
            <w:vAlign w:val="center"/>
          </w:tcPr>
          <w:p w:rsidR="0036350D" w:rsidRDefault="004D61EC" w:rsidP="00B14C10">
            <w:pPr>
              <w:jc w:val="right"/>
              <w:rPr>
                <w:rFonts w:asciiTheme="minorHAnsi" w:hAnsiTheme="minorHAnsi"/>
                <w:b/>
                <w:sz w:val="20"/>
              </w:rPr>
            </w:pPr>
            <w:r>
              <w:rPr>
                <w:rFonts w:asciiTheme="minorHAnsi" w:hAnsiTheme="minorHAnsi"/>
                <w:sz w:val="20"/>
              </w:rPr>
              <w:t>2.5%</w:t>
            </w:r>
          </w:p>
        </w:tc>
      </w:tr>
      <w:tr w:rsidR="0036350D" w:rsidTr="00484359">
        <w:trPr>
          <w:trHeight w:val="323"/>
        </w:trPr>
        <w:tc>
          <w:tcPr>
            <w:tcW w:w="6379" w:type="dxa"/>
            <w:shd w:val="clear" w:color="auto" w:fill="F2F2F2" w:themeFill="background1" w:themeFillShade="F2"/>
            <w:vAlign w:val="center"/>
          </w:tcPr>
          <w:p w:rsidR="0036350D"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36350D" w:rsidRDefault="00993FEC" w:rsidP="00484359">
            <w:pPr>
              <w:jc w:val="right"/>
              <w:rPr>
                <w:rFonts w:asciiTheme="minorHAnsi" w:hAnsiTheme="minorHAnsi"/>
                <w:b/>
                <w:sz w:val="20"/>
              </w:rPr>
            </w:pPr>
            <w:r>
              <w:rPr>
                <w:rFonts w:asciiTheme="minorHAnsi" w:hAnsiTheme="minorHAnsi"/>
                <w:b/>
                <w:sz w:val="20"/>
              </w:rPr>
              <w:t>603</w:t>
            </w:r>
          </w:p>
        </w:tc>
        <w:tc>
          <w:tcPr>
            <w:tcW w:w="1701" w:type="dxa"/>
            <w:shd w:val="clear" w:color="auto" w:fill="F2F2F2" w:themeFill="background1" w:themeFillShade="F2"/>
            <w:vAlign w:val="center"/>
          </w:tcPr>
          <w:p w:rsidR="0036350D" w:rsidRDefault="004943BD" w:rsidP="004943BD">
            <w:pPr>
              <w:jc w:val="right"/>
              <w:rPr>
                <w:rFonts w:asciiTheme="minorHAnsi" w:hAnsiTheme="minorHAnsi"/>
                <w:b/>
                <w:sz w:val="20"/>
              </w:rPr>
            </w:pPr>
            <w:r>
              <w:rPr>
                <w:rFonts w:asciiTheme="minorHAnsi" w:hAnsiTheme="minorHAnsi"/>
                <w:b/>
                <w:sz w:val="20"/>
              </w:rPr>
              <w:t>100%</w:t>
            </w:r>
          </w:p>
        </w:tc>
      </w:tr>
    </w:tbl>
    <w:p w:rsidR="0036350D" w:rsidRDefault="0036350D" w:rsidP="00ED3BDC"/>
    <w:p w:rsidR="0036350D"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36350D" w:rsidRDefault="0036350D" w:rsidP="00ED3BDC"/>
    <w:p w:rsidR="0036350D"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36350D" w:rsidRDefault="0036350D" w:rsidP="00ED3BDC"/>
    <w:p w:rsidR="0036350D" w:rsidRDefault="002F24A6" w:rsidP="002F24A6">
      <w:r>
        <w:t>Quality assessment is not possible for all bathing waters. In these cases, they are instead classified as either:</w:t>
      </w:r>
    </w:p>
    <w:p w:rsidR="0036350D" w:rsidRDefault="002F24A6" w:rsidP="002F24A6">
      <w:pPr>
        <w:ind w:firstLine="284"/>
      </w:pPr>
      <w:r>
        <w:t>• not enough samples</w:t>
      </w:r>
      <w:r>
        <w:rPr>
          <w:rStyle w:val="FootnoteReference"/>
        </w:rPr>
        <w:footnoteReference w:id="8"/>
      </w:r>
      <w:r>
        <w:t>;</w:t>
      </w:r>
    </w:p>
    <w:p w:rsidR="0036350D" w:rsidRDefault="002F24A6" w:rsidP="002F24A6">
      <w:pPr>
        <w:ind w:firstLine="284"/>
      </w:pPr>
      <w:r>
        <w:t>• new</w:t>
      </w:r>
      <w:r>
        <w:rPr>
          <w:rStyle w:val="FootnoteReference"/>
        </w:rPr>
        <w:footnoteReference w:id="9"/>
      </w:r>
      <w:r>
        <w:t>;</w:t>
      </w:r>
    </w:p>
    <w:p w:rsidR="0036350D" w:rsidRDefault="00783E42" w:rsidP="00783E42">
      <w:pPr>
        <w:ind w:firstLine="284"/>
      </w:pPr>
      <w:r>
        <w:t>• changes</w:t>
      </w:r>
      <w:r>
        <w:rPr>
          <w:rStyle w:val="FootnoteReference"/>
        </w:rPr>
        <w:footnoteReference w:id="10"/>
      </w:r>
      <w:r>
        <w:t>;</w:t>
      </w:r>
    </w:p>
    <w:p w:rsidR="0036350D" w:rsidRDefault="00783E42" w:rsidP="00783E42">
      <w:pPr>
        <w:ind w:firstLine="284"/>
      </w:pPr>
      <w:r>
        <w:t>• closed</w:t>
      </w:r>
      <w:r>
        <w:rPr>
          <w:rStyle w:val="FootnoteReference"/>
        </w:rPr>
        <w:footnoteReference w:id="11"/>
      </w:r>
      <w:r>
        <w:t>.</w:t>
      </w:r>
    </w:p>
    <w:p w:rsidR="0036350D" w:rsidRDefault="0036350D" w:rsidP="00AF3F74"/>
    <w:p w:rsidR="0036350D" w:rsidRDefault="0036350D" w:rsidP="00ED3BDC"/>
    <w:p w:rsidR="0036350D" w:rsidRDefault="002B438D" w:rsidP="00ED3BDC">
      <w:pPr>
        <w:pStyle w:val="Heading1"/>
      </w:pPr>
      <w:r>
        <w:t>Bathing water quality</w:t>
      </w:r>
    </w:p>
    <w:p w:rsidR="0036350D" w:rsidRDefault="0036350D" w:rsidP="00ED3BDC"/>
    <w:p w:rsidR="0036350D" w:rsidRDefault="002B438D" w:rsidP="00ED3BDC">
      <w:r>
        <w:t>The results of the bathing water quality in Portugal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36350D" w:rsidRDefault="0036350D" w:rsidP="00ED3BDC"/>
    <w:p w:rsidR="003B3ACA" w:rsidRDefault="003B3ACA" w:rsidP="00ED3BDC"/>
    <w:p w:rsidR="003B3ACA" w:rsidRDefault="003B3ACA" w:rsidP="00ED3BDC"/>
    <w:p w:rsidR="003B3ACA" w:rsidRDefault="003B3ACA" w:rsidP="00ED3BDC"/>
    <w:p w:rsidR="003B3ACA" w:rsidRDefault="003B3ACA" w:rsidP="00ED3BDC"/>
    <w:p w:rsidR="0036350D" w:rsidRDefault="002B438D" w:rsidP="00ED3BDC">
      <w:pPr>
        <w:pStyle w:val="Heading2"/>
      </w:pPr>
      <w:r>
        <w:lastRenderedPageBreak/>
        <w:t>Coastal bathing waters</w:t>
      </w:r>
    </w:p>
    <w:p w:rsidR="0036350D" w:rsidRDefault="0036350D" w:rsidP="00ED3BDC"/>
    <w:p w:rsidR="0036350D" w:rsidRDefault="002B438D" w:rsidP="00ED3BDC">
      <w:r>
        <w:t xml:space="preserve">In Portugal, 97.7% of all existing coastal bathing waters met at least sufficient water quality standards in 2017. See Appendix 1 for numeric data. </w:t>
      </w:r>
    </w:p>
    <w:p w:rsidR="0036350D" w:rsidRDefault="0036350D" w:rsidP="00ED3BDC"/>
    <w:p w:rsidR="0036350D"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6350D"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Portugal. </w:t>
      </w:r>
      <w:r>
        <w:rPr>
          <w:b w:val="0"/>
        </w:rPr>
        <w:t>Note: the “At least sufficient” class also includes bathing waters of “Excellent” quality class, the sum of shares is therefore not 100%.</w:t>
      </w:r>
      <w:r>
        <w:t xml:space="preserve"> </w:t>
      </w:r>
    </w:p>
    <w:p w:rsidR="0036350D" w:rsidRDefault="0036350D" w:rsidP="00ED3BDC"/>
    <w:p w:rsidR="0036350D" w:rsidRDefault="0036350D" w:rsidP="00ED3BDC"/>
    <w:p w:rsidR="0036350D" w:rsidRDefault="002B438D" w:rsidP="00ED3BDC">
      <w:pPr>
        <w:pStyle w:val="Heading2"/>
      </w:pPr>
      <w:r>
        <w:t>Inland bathing waters</w:t>
      </w:r>
    </w:p>
    <w:p w:rsidR="0036350D" w:rsidRDefault="0036350D" w:rsidP="00ED3BDC"/>
    <w:p w:rsidR="0036350D" w:rsidRDefault="007C239B" w:rsidP="002318DD">
      <w:r>
        <w:t>92.7% of all existing inland bathing waters were of at least sufficient water quality in 2017. See Appendix 1 for numeric data.</w:t>
      </w:r>
      <w:bookmarkStart w:id="1" w:name="OLE_LINK19"/>
      <w:bookmarkStart w:id="2" w:name="OLE_LINK20"/>
      <w:r>
        <w:t xml:space="preserve"> </w:t>
      </w:r>
    </w:p>
    <w:p w:rsidR="0036350D" w:rsidRDefault="0036350D" w:rsidP="002318DD"/>
    <w:p w:rsidR="0036350D"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1"/>
    <w:bookmarkEnd w:id="2"/>
    <w:p w:rsidR="0036350D"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Portugal. </w:t>
      </w:r>
      <w:r>
        <w:rPr>
          <w:b w:val="0"/>
        </w:rPr>
        <w:t>Note: the “At least sufficient” class also includes bathing waters of “Excellent” quality class, the sum of shares is therefore not 100%.</w:t>
      </w:r>
      <w:r>
        <w:t xml:space="preserve"> </w:t>
      </w:r>
    </w:p>
    <w:p w:rsidR="0036350D" w:rsidRDefault="0036350D" w:rsidP="00ED3BDC">
      <w:pPr>
        <w:pStyle w:val="Caption"/>
      </w:pPr>
    </w:p>
    <w:p w:rsidR="0036350D" w:rsidRDefault="0036350D" w:rsidP="00ED3BDC"/>
    <w:p w:rsidR="0036350D" w:rsidRDefault="0036350D" w:rsidP="00ED3BDC"/>
    <w:p w:rsidR="0036350D" w:rsidRDefault="002B438D" w:rsidP="00ED3BDC">
      <w:pPr>
        <w:pStyle w:val="Heading1"/>
      </w:pPr>
      <w:bookmarkStart w:id="3" w:name="OLE_LINK4"/>
      <w:bookmarkStart w:id="4" w:name="OLE_LINK5"/>
      <w:bookmarkStart w:id="5" w:name="OLE_LINK9"/>
      <w:r>
        <w:t>Information regarding management and other issues</w:t>
      </w:r>
      <w:bookmarkEnd w:id="3"/>
      <w:bookmarkEnd w:id="4"/>
    </w:p>
    <w:bookmarkEnd w:id="5"/>
    <w:p w:rsidR="0036350D" w:rsidRDefault="0036350D" w:rsidP="00ED3BDC"/>
    <w:p w:rsidR="003B3ACA" w:rsidRDefault="003B3ACA" w:rsidP="003B3ACA">
      <w:r>
        <w:t>Management of bathing waters include information to the public, locally and online, the reinforcement of monitoring and surveillance actions, the control and improvement of urban wastewater systems, the public awareness, among other measures. Bathing waters with classification of sufficient or poor are subjected to reinforcement of monitoring. These measures were carried out by different institutions in articulation, at national, regional and local level, involving Environment, Health and Maritime authorities, as well as municipalities, taking into account bathing water profiles, but also specific conditions of the bathing season.</w:t>
      </w:r>
    </w:p>
    <w:p w:rsidR="003B3ACA" w:rsidRDefault="003B3ACA" w:rsidP="003B3ACA"/>
    <w:p w:rsidR="003B3ACA" w:rsidRDefault="003B3ACA" w:rsidP="003B3ACA">
      <w:r>
        <w:t xml:space="preserve">In 2017, there were repair works at the bathing water “Praia da </w:t>
      </w:r>
      <w:proofErr w:type="spellStart"/>
      <w:r>
        <w:t>Ribeira</w:t>
      </w:r>
      <w:proofErr w:type="spellEnd"/>
      <w:r>
        <w:t xml:space="preserve"> das </w:t>
      </w:r>
      <w:proofErr w:type="spellStart"/>
      <w:r>
        <w:t>Galinhas</w:t>
      </w:r>
      <w:proofErr w:type="spellEnd"/>
      <w:r>
        <w:t xml:space="preserve">”. This bathing place was identified in the bathing season 2015 for the first time. The access to the water was assured by </w:t>
      </w:r>
      <w:proofErr w:type="spellStart"/>
      <w:r>
        <w:t>groyne</w:t>
      </w:r>
      <w:proofErr w:type="spellEnd"/>
      <w:r>
        <w:t>/pier and a slipway, both made of reinforced concrete. During 2016 the slipway showed signs of erosion and since then, as a precautionary measure and for safety reasons, access to the slipway was restricted using a chain and visual sign for information. During winter and spring season of 2017, the ocean damages in this structure increased, exposing the steel reinforcing bars which posed a great danger to bathers. Repairs were necessary, but they were only possible to start on 12th of June. To carry out the works heavy machinery was needed. Public was informed about the works and the access to the area was prevented for safety reasons. Consequently bathing activities were not allowed and therefore it was not possible to start the bathing season as expected on 17th of June. Sampling was consequently also not allowed. Repair works lasted around 2 weeks and on 30th of June, after work was completed, access for bathers was allowed. To ensure bathing water quality before access to the water was granted, a sample was taken before that - on 28th of June.</w:t>
      </w:r>
    </w:p>
    <w:p w:rsidR="003B3ACA" w:rsidRDefault="003B3ACA" w:rsidP="003B3ACA"/>
    <w:p w:rsidR="003B3ACA" w:rsidRDefault="003B3ACA" w:rsidP="003B3ACA">
      <w:r>
        <w:t xml:space="preserve">Concerning monitoring calendar at this bathing site, five samples were planned to be taken, but due to the explained abnormal situation that occurred previously to bathing season and the necessity for repairs, it was not possible to collect the first sample. Nevertheless, it was possible to collect four samples, one of them before the bathing activities were allowed. All samples obtained results compatible with “excellent” quality. These results are compatible with the results from previous bathing seasons. Under these circumstances it was considered that abnormal situation could be applicable to this bathing water, justifying the suspension of the monitoring calendar between 14th and 28th of June, and allowing quality class classification of bathing water “Praia da </w:t>
      </w:r>
      <w:proofErr w:type="spellStart"/>
      <w:r>
        <w:t>Ribeira</w:t>
      </w:r>
      <w:proofErr w:type="spellEnd"/>
      <w:r>
        <w:t xml:space="preserve"> das </w:t>
      </w:r>
      <w:proofErr w:type="spellStart"/>
      <w:r>
        <w:t>Galinhas</w:t>
      </w:r>
      <w:proofErr w:type="spellEnd"/>
      <w:r>
        <w:t>” as “excellent”.</w:t>
      </w:r>
    </w:p>
    <w:p w:rsidR="003B3ACA" w:rsidRDefault="003B3ACA" w:rsidP="003B3ACA"/>
    <w:p w:rsidR="003B3ACA" w:rsidRPr="003B3ACA" w:rsidRDefault="003B3ACA" w:rsidP="003B3ACA">
      <w:pPr>
        <w:rPr>
          <w:b/>
        </w:rPr>
      </w:pPr>
      <w:r w:rsidRPr="003B3ACA">
        <w:rPr>
          <w:b/>
        </w:rPr>
        <w:t xml:space="preserve">Information </w:t>
      </w:r>
      <w:r>
        <w:rPr>
          <w:b/>
        </w:rPr>
        <w:t xml:space="preserve">on the </w:t>
      </w:r>
      <w:r w:rsidRPr="003B3ACA">
        <w:rPr>
          <w:b/>
        </w:rPr>
        <w:t>internet – Portugal Mainland and Autonomous Regions</w:t>
      </w:r>
    </w:p>
    <w:p w:rsidR="003B3ACA" w:rsidRDefault="003B3ACA" w:rsidP="003B3ACA"/>
    <w:p w:rsidR="003B3ACA" w:rsidRDefault="003B3ACA" w:rsidP="003B3ACA">
      <w:r>
        <w:t>The online provision of information on bathing water is performed by the Portuguese Environment Agency (</w:t>
      </w:r>
      <w:proofErr w:type="spellStart"/>
      <w:r>
        <w:t>APA</w:t>
      </w:r>
      <w:proofErr w:type="spellEnd"/>
      <w:r>
        <w:t xml:space="preserve">), integrated in two websites: the </w:t>
      </w:r>
      <w:proofErr w:type="spellStart"/>
      <w:r>
        <w:t>APA</w:t>
      </w:r>
      <w:proofErr w:type="spellEnd"/>
      <w:r>
        <w:t xml:space="preserve"> official website and the site linked with the database. Besides, and concerning Autonomous Regions of Azores and Madeira, there are regional websites.</w:t>
      </w:r>
    </w:p>
    <w:p w:rsidR="003B3ACA" w:rsidRDefault="003B3ACA" w:rsidP="003B3ACA"/>
    <w:p w:rsidR="003B3ACA" w:rsidRDefault="003B3ACA" w:rsidP="003B3ACA">
      <w:r>
        <w:t xml:space="preserve">The </w:t>
      </w:r>
      <w:proofErr w:type="spellStart"/>
      <w:r>
        <w:t>APA</w:t>
      </w:r>
      <w:proofErr w:type="spellEnd"/>
      <w:r>
        <w:t xml:space="preserve"> official website located at </w:t>
      </w:r>
      <w:hyperlink r:id="rId12" w:history="1">
        <w:r w:rsidRPr="003F4ABB">
          <w:rPr>
            <w:rStyle w:val="Hyperlink"/>
          </w:rPr>
          <w:t>http://www.apambiente.pt/index.php?ref=19&amp;subref=906</w:t>
        </w:r>
      </w:hyperlink>
      <w:r>
        <w:t xml:space="preserve"> presents information about the bathing water classification in previous years, as well as the European Environment Agency reports and a link to the information concerning </w:t>
      </w:r>
      <w:r>
        <w:t>the previous</w:t>
      </w:r>
      <w:r>
        <w:t xml:space="preserve"> bathing season.</w:t>
      </w:r>
    </w:p>
    <w:p w:rsidR="003B3ACA" w:rsidRDefault="003B3ACA" w:rsidP="003B3ACA"/>
    <w:p w:rsidR="0036350D" w:rsidRDefault="003B3ACA" w:rsidP="003B3ACA">
      <w:r>
        <w:lastRenderedPageBreak/>
        <w:t>Also available are sites of the Autonomous Region of Azores (</w:t>
      </w:r>
      <w:hyperlink r:id="rId13" w:history="1">
        <w:r w:rsidRPr="003F4ABB">
          <w:rPr>
            <w:rStyle w:val="Hyperlink"/>
          </w:rPr>
          <w:t>http://www.azores.gov.pt/Gra/SRMCT-MAR/menus/secundario/Zonas+Balneares/</w:t>
        </w:r>
      </w:hyperlink>
      <w:r>
        <w:t>) and Autonomous Region of Madeira (</w:t>
      </w:r>
      <w:hyperlink r:id="rId14" w:history="1">
        <w:r w:rsidRPr="003F4ABB">
          <w:rPr>
            <w:rStyle w:val="Hyperlink"/>
          </w:rPr>
          <w:t>http://dramb.gov-madeira.pt/berilio/berwpag0.listctn?pCtn=103</w:t>
        </w:r>
      </w:hyperlink>
      <w:r>
        <w:t>).</w:t>
      </w:r>
    </w:p>
    <w:p w:rsidR="0036350D" w:rsidRDefault="0036350D" w:rsidP="00ED3BDC"/>
    <w:p w:rsidR="003B3ACA" w:rsidRDefault="003B3ACA" w:rsidP="00ED3BDC"/>
    <w:p w:rsidR="0036350D" w:rsidRDefault="0024729D" w:rsidP="00ED3BDC">
      <w:pPr>
        <w:pStyle w:val="Heading1"/>
      </w:pPr>
      <w:r>
        <w:t>Bathing water quality assessment presentation in online viewers</w:t>
      </w:r>
    </w:p>
    <w:p w:rsidR="0036350D" w:rsidRDefault="0036350D" w:rsidP="00ED3BDC"/>
    <w:p w:rsidR="0036350D"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5" w:history="1">
        <w:r>
          <w:rPr>
            <w:rStyle w:val="Hyperlink"/>
          </w:rPr>
          <w:t>http://ec.europa.eu/environment/water/index_en.htm</w:t>
        </w:r>
      </w:hyperlink>
      <w:r>
        <w:t>.</w:t>
      </w:r>
    </w:p>
    <w:p w:rsidR="0036350D" w:rsidRDefault="0036350D" w:rsidP="00EC573D"/>
    <w:p w:rsidR="0036350D" w:rsidRDefault="003E2BA0" w:rsidP="003E2BA0">
      <w:r>
        <w:t>The bathing water section of the Water Information System for Europe (WISE) which is accessible at the EEA bathing water website (</w:t>
      </w:r>
      <w:hyperlink r:id="rId16"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36350D" w:rsidRDefault="002B438D" w:rsidP="003E2BA0">
      <w:r>
        <w:br w:type="page"/>
      </w:r>
    </w:p>
    <w:p w:rsidR="0036350D" w:rsidRDefault="002B438D" w:rsidP="00ED3BDC">
      <w:pPr>
        <w:rPr>
          <w:b/>
          <w:sz w:val="28"/>
        </w:rPr>
      </w:pPr>
      <w:r>
        <w:rPr>
          <w:b/>
          <w:sz w:val="28"/>
        </w:rPr>
        <w:lastRenderedPageBreak/>
        <w:t>Appendix 1: Results of bathing water quality in Portugal from 2014 to 2017</w:t>
      </w:r>
    </w:p>
    <w:p w:rsidR="0036350D" w:rsidRDefault="0036350D" w:rsidP="00ED3BDC"/>
    <w:p w:rsidR="0036350D"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36350D" w:rsidTr="005F5E3F">
        <w:tc>
          <w:tcPr>
            <w:tcW w:w="1276" w:type="dxa"/>
            <w:gridSpan w:val="2"/>
            <w:vMerge w:val="restart"/>
            <w:shd w:val="clear" w:color="auto" w:fill="F2F2F2" w:themeFill="background1" w:themeFillShade="F2"/>
          </w:tcPr>
          <w:p w:rsidR="0036350D" w:rsidRDefault="0036350D"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36350D" w:rsidRDefault="005F5E3F" w:rsidP="00B853E1">
            <w:pPr>
              <w:jc w:val="center"/>
              <w:rPr>
                <w:rFonts w:asciiTheme="minorHAnsi" w:hAnsiTheme="minorHAnsi"/>
                <w:b/>
                <w:sz w:val="20"/>
                <w:szCs w:val="20"/>
              </w:rPr>
            </w:pPr>
            <w:r>
              <w:rPr>
                <w:rFonts w:asciiTheme="minorHAnsi" w:hAnsiTheme="minorHAnsi"/>
                <w:b/>
                <w:sz w:val="20"/>
                <w:szCs w:val="20"/>
              </w:rPr>
              <w:t>Total</w:t>
            </w:r>
          </w:p>
          <w:p w:rsidR="0036350D" w:rsidRDefault="005F5E3F" w:rsidP="00B853E1">
            <w:pPr>
              <w:jc w:val="center"/>
              <w:rPr>
                <w:rFonts w:asciiTheme="minorHAnsi" w:hAnsiTheme="minorHAnsi"/>
                <w:b/>
                <w:sz w:val="20"/>
                <w:szCs w:val="20"/>
              </w:rPr>
            </w:pPr>
            <w:r>
              <w:rPr>
                <w:rFonts w:asciiTheme="minorHAnsi" w:hAnsiTheme="minorHAnsi"/>
                <w:b/>
                <w:sz w:val="20"/>
                <w:szCs w:val="20"/>
              </w:rPr>
              <w:t>number</w:t>
            </w:r>
          </w:p>
          <w:p w:rsidR="0036350D" w:rsidRDefault="005F5E3F" w:rsidP="00B853E1">
            <w:pPr>
              <w:jc w:val="center"/>
              <w:rPr>
                <w:rFonts w:asciiTheme="minorHAnsi" w:hAnsiTheme="minorHAnsi"/>
                <w:b/>
                <w:sz w:val="20"/>
                <w:szCs w:val="20"/>
              </w:rPr>
            </w:pPr>
            <w:r>
              <w:rPr>
                <w:rFonts w:asciiTheme="minorHAnsi" w:hAnsiTheme="minorHAnsi"/>
                <w:b/>
                <w:sz w:val="20"/>
                <w:szCs w:val="20"/>
              </w:rPr>
              <w:t>of</w:t>
            </w:r>
          </w:p>
          <w:p w:rsidR="0036350D" w:rsidRDefault="005F5E3F" w:rsidP="00B853E1">
            <w:pPr>
              <w:jc w:val="center"/>
              <w:rPr>
                <w:rFonts w:asciiTheme="minorHAnsi" w:hAnsiTheme="minorHAnsi"/>
                <w:b/>
                <w:sz w:val="20"/>
                <w:szCs w:val="20"/>
              </w:rPr>
            </w:pPr>
            <w:r>
              <w:rPr>
                <w:rFonts w:asciiTheme="minorHAnsi" w:hAnsiTheme="minorHAnsi"/>
                <w:b/>
                <w:sz w:val="20"/>
                <w:szCs w:val="20"/>
              </w:rPr>
              <w:t>bathing</w:t>
            </w:r>
          </w:p>
          <w:p w:rsidR="0036350D"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36350D"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36350D" w:rsidRDefault="005F5E3F" w:rsidP="00B853E1">
            <w:pPr>
              <w:jc w:val="center"/>
              <w:rPr>
                <w:rFonts w:asciiTheme="minorHAnsi" w:hAnsiTheme="minorHAnsi"/>
                <w:b/>
                <w:sz w:val="20"/>
                <w:szCs w:val="20"/>
              </w:rPr>
            </w:pPr>
            <w:r>
              <w:rPr>
                <w:rFonts w:asciiTheme="minorHAnsi" w:hAnsiTheme="minorHAnsi"/>
                <w:b/>
                <w:sz w:val="20"/>
                <w:szCs w:val="20"/>
              </w:rPr>
              <w:t>At least</w:t>
            </w:r>
          </w:p>
          <w:p w:rsidR="0036350D" w:rsidRDefault="005F5E3F" w:rsidP="00B853E1">
            <w:pPr>
              <w:jc w:val="center"/>
              <w:rPr>
                <w:rFonts w:asciiTheme="minorHAnsi" w:hAnsiTheme="minorHAnsi"/>
                <w:b/>
                <w:sz w:val="20"/>
                <w:szCs w:val="20"/>
              </w:rPr>
            </w:pPr>
            <w:r>
              <w:rPr>
                <w:rFonts w:asciiTheme="minorHAnsi" w:hAnsiTheme="minorHAnsi"/>
                <w:b/>
                <w:sz w:val="20"/>
                <w:szCs w:val="20"/>
              </w:rPr>
              <w:t>sufficient</w:t>
            </w:r>
          </w:p>
          <w:p w:rsidR="0036350D"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36350D"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36350D" w:rsidRDefault="005F5E3F" w:rsidP="00B853E1">
            <w:pPr>
              <w:jc w:val="center"/>
              <w:rPr>
                <w:rFonts w:asciiTheme="minorHAnsi" w:hAnsiTheme="minorHAnsi"/>
                <w:b/>
                <w:sz w:val="20"/>
                <w:szCs w:val="20"/>
              </w:rPr>
            </w:pPr>
            <w:r>
              <w:rPr>
                <w:rFonts w:asciiTheme="minorHAnsi" w:hAnsiTheme="minorHAnsi"/>
                <w:b/>
                <w:sz w:val="20"/>
                <w:szCs w:val="20"/>
              </w:rPr>
              <w:t>Quality</w:t>
            </w:r>
          </w:p>
          <w:p w:rsidR="0036350D"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36350D"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36350D"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36350D" w:rsidRDefault="005F5E3F" w:rsidP="00B853E1">
            <w:pPr>
              <w:jc w:val="center"/>
              <w:rPr>
                <w:rFonts w:asciiTheme="minorHAnsi" w:hAnsiTheme="minorHAnsi"/>
                <w:b/>
                <w:sz w:val="20"/>
                <w:szCs w:val="20"/>
              </w:rPr>
            </w:pPr>
            <w:r>
              <w:rPr>
                <w:rFonts w:asciiTheme="minorHAnsi" w:hAnsiTheme="minorHAnsi"/>
                <w:b/>
                <w:sz w:val="20"/>
                <w:szCs w:val="20"/>
              </w:rPr>
              <w:t>/new bathing</w:t>
            </w:r>
          </w:p>
          <w:p w:rsidR="0036350D" w:rsidRDefault="005F5E3F" w:rsidP="00B853E1">
            <w:pPr>
              <w:jc w:val="center"/>
              <w:rPr>
                <w:rFonts w:asciiTheme="minorHAnsi" w:hAnsiTheme="minorHAnsi"/>
                <w:b/>
                <w:sz w:val="20"/>
                <w:szCs w:val="20"/>
              </w:rPr>
            </w:pPr>
            <w:r>
              <w:rPr>
                <w:rFonts w:asciiTheme="minorHAnsi" w:hAnsiTheme="minorHAnsi"/>
                <w:b/>
                <w:sz w:val="20"/>
                <w:szCs w:val="20"/>
              </w:rPr>
              <w:t>waters/bathing</w:t>
            </w:r>
          </w:p>
          <w:p w:rsidR="0036350D"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36350D" w:rsidTr="005F5E3F">
        <w:tc>
          <w:tcPr>
            <w:tcW w:w="1276" w:type="dxa"/>
            <w:gridSpan w:val="2"/>
            <w:vMerge/>
            <w:tcBorders>
              <w:bottom w:val="single" w:sz="4" w:space="0" w:color="808080" w:themeColor="background1" w:themeShade="80"/>
            </w:tcBorders>
            <w:shd w:val="clear" w:color="auto" w:fill="F2F2F2" w:themeFill="background1" w:themeFillShade="F2"/>
          </w:tcPr>
          <w:p w:rsidR="0036350D" w:rsidRDefault="0036350D"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36350D" w:rsidRDefault="0036350D"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36350D"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36350D"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36350D"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36350D"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36350D"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36350D"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36350D"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36350D" w:rsidRDefault="005F5E3F" w:rsidP="00430B97">
            <w:pPr>
              <w:jc w:val="center"/>
              <w:rPr>
                <w:rFonts w:asciiTheme="minorHAnsi" w:hAnsiTheme="minorHAnsi"/>
                <w:b/>
                <w:sz w:val="20"/>
                <w:szCs w:val="20"/>
              </w:rPr>
            </w:pPr>
            <w:r>
              <w:rPr>
                <w:rFonts w:asciiTheme="minorHAnsi" w:hAnsiTheme="minorHAnsi"/>
                <w:b/>
                <w:sz w:val="20"/>
                <w:szCs w:val="20"/>
              </w:rPr>
              <w:t>%</w:t>
            </w:r>
          </w:p>
        </w:tc>
      </w:tr>
      <w:tr w:rsidR="0036350D"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36350D" w:rsidRDefault="005F5E3F" w:rsidP="003B3ACA">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452</w:t>
            </w:r>
          </w:p>
        </w:tc>
        <w:tc>
          <w:tcPr>
            <w:tcW w:w="939"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395</w:t>
            </w:r>
          </w:p>
        </w:tc>
        <w:tc>
          <w:tcPr>
            <w:tcW w:w="904"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87.4</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435</w:t>
            </w:r>
          </w:p>
        </w:tc>
        <w:tc>
          <w:tcPr>
            <w:tcW w:w="993"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96.2</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5</w:t>
            </w:r>
          </w:p>
        </w:tc>
        <w:tc>
          <w:tcPr>
            <w:tcW w:w="85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1.1</w:t>
            </w:r>
          </w:p>
        </w:tc>
        <w:tc>
          <w:tcPr>
            <w:tcW w:w="903"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12</w:t>
            </w:r>
          </w:p>
        </w:tc>
        <w:tc>
          <w:tcPr>
            <w:tcW w:w="94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2.7</w:t>
            </w:r>
          </w:p>
        </w:tc>
      </w:tr>
      <w:tr w:rsidR="0036350D"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36350D" w:rsidRDefault="005F5E3F" w:rsidP="005C19AE">
            <w:pPr>
              <w:jc w:val="center"/>
              <w:rPr>
                <w:rFonts w:asciiTheme="minorHAnsi" w:hAnsiTheme="minorHAnsi"/>
                <w:sz w:val="20"/>
                <w:szCs w:val="20"/>
              </w:rPr>
            </w:pPr>
            <w:r>
              <w:rPr>
                <w:rFonts w:asciiTheme="minorHAnsi" w:hAnsiTheme="minorHAnsi"/>
                <w:sz w:val="20"/>
                <w:szCs w:val="20"/>
              </w:rPr>
              <w:t>Coastal</w:t>
            </w:r>
          </w:p>
          <w:p w:rsidR="0036350D" w:rsidRDefault="0036350D"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460</w:t>
            </w:r>
          </w:p>
        </w:tc>
        <w:tc>
          <w:tcPr>
            <w:tcW w:w="939"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412</w:t>
            </w:r>
          </w:p>
        </w:tc>
        <w:tc>
          <w:tcPr>
            <w:tcW w:w="904"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89.6</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450</w:t>
            </w:r>
          </w:p>
        </w:tc>
        <w:tc>
          <w:tcPr>
            <w:tcW w:w="993"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97.8</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3</w:t>
            </w:r>
          </w:p>
        </w:tc>
        <w:tc>
          <w:tcPr>
            <w:tcW w:w="85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0.7</w:t>
            </w:r>
          </w:p>
        </w:tc>
        <w:tc>
          <w:tcPr>
            <w:tcW w:w="903"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7</w:t>
            </w:r>
          </w:p>
        </w:tc>
        <w:tc>
          <w:tcPr>
            <w:tcW w:w="94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1.5</w:t>
            </w:r>
          </w:p>
        </w:tc>
      </w:tr>
      <w:tr w:rsidR="0036350D"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36350D" w:rsidRDefault="005F5E3F" w:rsidP="005C19AE">
            <w:pPr>
              <w:jc w:val="center"/>
              <w:rPr>
                <w:rFonts w:asciiTheme="minorHAnsi" w:hAnsiTheme="minorHAnsi"/>
                <w:sz w:val="20"/>
                <w:szCs w:val="20"/>
              </w:rPr>
            </w:pPr>
            <w:r>
              <w:rPr>
                <w:rFonts w:asciiTheme="minorHAnsi" w:hAnsiTheme="minorHAnsi"/>
                <w:sz w:val="20"/>
                <w:szCs w:val="20"/>
              </w:rPr>
              <w:t>Coastal</w:t>
            </w:r>
          </w:p>
          <w:p w:rsidR="0036350D" w:rsidRDefault="0036350D"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464</w:t>
            </w:r>
          </w:p>
        </w:tc>
        <w:tc>
          <w:tcPr>
            <w:tcW w:w="939"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413</w:t>
            </w:r>
          </w:p>
        </w:tc>
        <w:tc>
          <w:tcPr>
            <w:tcW w:w="904"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89.0</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454</w:t>
            </w:r>
          </w:p>
        </w:tc>
        <w:tc>
          <w:tcPr>
            <w:tcW w:w="993"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97.8</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4</w:t>
            </w:r>
          </w:p>
        </w:tc>
        <w:tc>
          <w:tcPr>
            <w:tcW w:w="85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0.9</w:t>
            </w:r>
          </w:p>
        </w:tc>
        <w:tc>
          <w:tcPr>
            <w:tcW w:w="903"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6</w:t>
            </w:r>
          </w:p>
        </w:tc>
        <w:tc>
          <w:tcPr>
            <w:tcW w:w="94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1.3</w:t>
            </w:r>
          </w:p>
        </w:tc>
      </w:tr>
      <w:tr w:rsidR="0036350D"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36350D" w:rsidRDefault="005F5E3F" w:rsidP="005C19AE">
            <w:pPr>
              <w:jc w:val="center"/>
              <w:rPr>
                <w:rFonts w:asciiTheme="minorHAnsi" w:hAnsiTheme="minorHAnsi"/>
                <w:sz w:val="20"/>
                <w:szCs w:val="20"/>
              </w:rPr>
            </w:pPr>
            <w:r>
              <w:rPr>
                <w:rFonts w:asciiTheme="minorHAnsi" w:hAnsiTheme="minorHAnsi"/>
                <w:sz w:val="20"/>
                <w:szCs w:val="20"/>
              </w:rPr>
              <w:t>Coastal</w:t>
            </w:r>
          </w:p>
          <w:p w:rsidR="0036350D" w:rsidRDefault="0036350D"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480</w:t>
            </w:r>
          </w:p>
        </w:tc>
        <w:tc>
          <w:tcPr>
            <w:tcW w:w="939"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435</w:t>
            </w:r>
          </w:p>
        </w:tc>
        <w:tc>
          <w:tcPr>
            <w:tcW w:w="904"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90.6</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469</w:t>
            </w:r>
          </w:p>
        </w:tc>
        <w:tc>
          <w:tcPr>
            <w:tcW w:w="993"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97.7</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3</w:t>
            </w:r>
          </w:p>
        </w:tc>
        <w:tc>
          <w:tcPr>
            <w:tcW w:w="85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0.6</w:t>
            </w:r>
          </w:p>
        </w:tc>
        <w:tc>
          <w:tcPr>
            <w:tcW w:w="903"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8</w:t>
            </w:r>
          </w:p>
        </w:tc>
        <w:tc>
          <w:tcPr>
            <w:tcW w:w="94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1.7</w:t>
            </w:r>
          </w:p>
        </w:tc>
      </w:tr>
      <w:tr w:rsidR="0036350D"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36350D" w:rsidRDefault="005F5E3F" w:rsidP="003B3ACA">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106</w:t>
            </w:r>
          </w:p>
        </w:tc>
        <w:tc>
          <w:tcPr>
            <w:tcW w:w="939"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56</w:t>
            </w:r>
          </w:p>
        </w:tc>
        <w:tc>
          <w:tcPr>
            <w:tcW w:w="904"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52.8</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91</w:t>
            </w:r>
          </w:p>
        </w:tc>
        <w:tc>
          <w:tcPr>
            <w:tcW w:w="993"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85.8</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w:t>
            </w:r>
          </w:p>
        </w:tc>
        <w:tc>
          <w:tcPr>
            <w:tcW w:w="85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0.9</w:t>
            </w:r>
          </w:p>
        </w:tc>
        <w:tc>
          <w:tcPr>
            <w:tcW w:w="903"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14</w:t>
            </w:r>
          </w:p>
        </w:tc>
        <w:tc>
          <w:tcPr>
            <w:tcW w:w="94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13.2</w:t>
            </w:r>
          </w:p>
        </w:tc>
      </w:tr>
      <w:tr w:rsidR="0036350D"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36350D"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36350D" w:rsidRDefault="0036350D"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109</w:t>
            </w:r>
          </w:p>
        </w:tc>
        <w:tc>
          <w:tcPr>
            <w:tcW w:w="939"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69</w:t>
            </w:r>
          </w:p>
        </w:tc>
        <w:tc>
          <w:tcPr>
            <w:tcW w:w="904"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63.3</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98</w:t>
            </w:r>
          </w:p>
        </w:tc>
        <w:tc>
          <w:tcPr>
            <w:tcW w:w="993"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89.9</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11</w:t>
            </w:r>
          </w:p>
        </w:tc>
        <w:tc>
          <w:tcPr>
            <w:tcW w:w="94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10.1</w:t>
            </w:r>
          </w:p>
        </w:tc>
      </w:tr>
      <w:tr w:rsidR="0036350D"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36350D"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36350D" w:rsidRDefault="0036350D"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115</w:t>
            </w:r>
          </w:p>
        </w:tc>
        <w:tc>
          <w:tcPr>
            <w:tcW w:w="939"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80</w:t>
            </w:r>
          </w:p>
        </w:tc>
        <w:tc>
          <w:tcPr>
            <w:tcW w:w="904"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69.6</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108</w:t>
            </w:r>
          </w:p>
        </w:tc>
        <w:tc>
          <w:tcPr>
            <w:tcW w:w="993"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93.9</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0</w:t>
            </w:r>
          </w:p>
        </w:tc>
        <w:tc>
          <w:tcPr>
            <w:tcW w:w="85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0.0</w:t>
            </w:r>
          </w:p>
        </w:tc>
        <w:tc>
          <w:tcPr>
            <w:tcW w:w="903"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7</w:t>
            </w:r>
          </w:p>
        </w:tc>
        <w:tc>
          <w:tcPr>
            <w:tcW w:w="94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6.1</w:t>
            </w:r>
          </w:p>
        </w:tc>
      </w:tr>
      <w:tr w:rsidR="0036350D"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36350D"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36350D" w:rsidRDefault="0036350D"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123</w:t>
            </w:r>
          </w:p>
        </w:tc>
        <w:tc>
          <w:tcPr>
            <w:tcW w:w="939"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94</w:t>
            </w:r>
          </w:p>
        </w:tc>
        <w:tc>
          <w:tcPr>
            <w:tcW w:w="904"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76.4</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114</w:t>
            </w:r>
          </w:p>
        </w:tc>
        <w:tc>
          <w:tcPr>
            <w:tcW w:w="993"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92.7</w:t>
            </w:r>
          </w:p>
        </w:tc>
        <w:tc>
          <w:tcPr>
            <w:tcW w:w="992"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2</w:t>
            </w:r>
          </w:p>
        </w:tc>
        <w:tc>
          <w:tcPr>
            <w:tcW w:w="85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1.6</w:t>
            </w:r>
          </w:p>
        </w:tc>
        <w:tc>
          <w:tcPr>
            <w:tcW w:w="903"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7</w:t>
            </w:r>
          </w:p>
        </w:tc>
        <w:tc>
          <w:tcPr>
            <w:tcW w:w="940" w:type="dxa"/>
            <w:tcBorders>
              <w:top w:val="single" w:sz="4" w:space="0" w:color="808080" w:themeColor="background1" w:themeShade="80"/>
              <w:bottom w:val="single" w:sz="4" w:space="0" w:color="808080" w:themeColor="background1" w:themeShade="80"/>
            </w:tcBorders>
            <w:vAlign w:val="center"/>
          </w:tcPr>
          <w:p w:rsidR="0036350D" w:rsidRDefault="005F5E3F" w:rsidP="002E7263">
            <w:pPr>
              <w:jc w:val="right"/>
              <w:rPr>
                <w:rFonts w:asciiTheme="minorHAnsi" w:hAnsiTheme="minorHAnsi"/>
                <w:sz w:val="20"/>
                <w:szCs w:val="20"/>
              </w:rPr>
            </w:pPr>
            <w:r>
              <w:rPr>
                <w:rFonts w:asciiTheme="minorHAnsi" w:hAnsiTheme="minorHAnsi"/>
                <w:sz w:val="20"/>
                <w:szCs w:val="20"/>
              </w:rPr>
              <w:t>5.7</w:t>
            </w:r>
          </w:p>
        </w:tc>
      </w:tr>
      <w:tr w:rsidR="0036350D" w:rsidTr="005F5E3F">
        <w:trPr>
          <w:cantSplit/>
          <w:trHeight w:val="425"/>
        </w:trPr>
        <w:tc>
          <w:tcPr>
            <w:tcW w:w="426" w:type="dxa"/>
            <w:vMerge w:val="restart"/>
            <w:tcBorders>
              <w:top w:val="single" w:sz="4" w:space="0" w:color="808080" w:themeColor="background1" w:themeShade="80"/>
            </w:tcBorders>
            <w:textDirection w:val="btLr"/>
            <w:vAlign w:val="center"/>
          </w:tcPr>
          <w:p w:rsidR="0036350D" w:rsidRDefault="005F5E3F" w:rsidP="003B3ACA">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558</w:t>
            </w:r>
          </w:p>
        </w:tc>
        <w:tc>
          <w:tcPr>
            <w:tcW w:w="939"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451</w:t>
            </w:r>
          </w:p>
        </w:tc>
        <w:tc>
          <w:tcPr>
            <w:tcW w:w="904"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80.8</w:t>
            </w:r>
          </w:p>
        </w:tc>
        <w:tc>
          <w:tcPr>
            <w:tcW w:w="992"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526</w:t>
            </w:r>
          </w:p>
        </w:tc>
        <w:tc>
          <w:tcPr>
            <w:tcW w:w="993"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94.3</w:t>
            </w:r>
          </w:p>
        </w:tc>
        <w:tc>
          <w:tcPr>
            <w:tcW w:w="992"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6</w:t>
            </w:r>
          </w:p>
        </w:tc>
        <w:tc>
          <w:tcPr>
            <w:tcW w:w="850"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1.1</w:t>
            </w:r>
          </w:p>
        </w:tc>
        <w:tc>
          <w:tcPr>
            <w:tcW w:w="903"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26</w:t>
            </w:r>
          </w:p>
        </w:tc>
        <w:tc>
          <w:tcPr>
            <w:tcW w:w="940"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4.7</w:t>
            </w:r>
          </w:p>
        </w:tc>
      </w:tr>
      <w:tr w:rsidR="0036350D" w:rsidTr="005F5E3F">
        <w:trPr>
          <w:cantSplit/>
          <w:trHeight w:val="425"/>
        </w:trPr>
        <w:tc>
          <w:tcPr>
            <w:tcW w:w="426" w:type="dxa"/>
            <w:vMerge/>
            <w:tcBorders>
              <w:top w:val="single" w:sz="4" w:space="0" w:color="808080" w:themeColor="background1" w:themeShade="80"/>
            </w:tcBorders>
            <w:textDirection w:val="btLr"/>
            <w:vAlign w:val="center"/>
          </w:tcPr>
          <w:p w:rsidR="0036350D"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36350D" w:rsidRDefault="0036350D"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569</w:t>
            </w:r>
          </w:p>
        </w:tc>
        <w:tc>
          <w:tcPr>
            <w:tcW w:w="939"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481</w:t>
            </w:r>
          </w:p>
        </w:tc>
        <w:tc>
          <w:tcPr>
            <w:tcW w:w="904"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84.5</w:t>
            </w:r>
          </w:p>
        </w:tc>
        <w:tc>
          <w:tcPr>
            <w:tcW w:w="992"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548</w:t>
            </w:r>
          </w:p>
        </w:tc>
        <w:tc>
          <w:tcPr>
            <w:tcW w:w="993"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96.3</w:t>
            </w:r>
          </w:p>
        </w:tc>
        <w:tc>
          <w:tcPr>
            <w:tcW w:w="992"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3</w:t>
            </w:r>
          </w:p>
        </w:tc>
        <w:tc>
          <w:tcPr>
            <w:tcW w:w="850"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0.5</w:t>
            </w:r>
          </w:p>
        </w:tc>
        <w:tc>
          <w:tcPr>
            <w:tcW w:w="903"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18</w:t>
            </w:r>
          </w:p>
        </w:tc>
        <w:tc>
          <w:tcPr>
            <w:tcW w:w="940"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3.2</w:t>
            </w:r>
          </w:p>
        </w:tc>
      </w:tr>
      <w:tr w:rsidR="0036350D" w:rsidTr="005F5E3F">
        <w:trPr>
          <w:cantSplit/>
          <w:trHeight w:val="425"/>
        </w:trPr>
        <w:tc>
          <w:tcPr>
            <w:tcW w:w="426" w:type="dxa"/>
            <w:vMerge/>
            <w:tcBorders>
              <w:top w:val="single" w:sz="4" w:space="0" w:color="808080" w:themeColor="background1" w:themeShade="80"/>
            </w:tcBorders>
            <w:textDirection w:val="btLr"/>
            <w:vAlign w:val="center"/>
          </w:tcPr>
          <w:p w:rsidR="0036350D"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36350D" w:rsidRDefault="0036350D"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579</w:t>
            </w:r>
          </w:p>
        </w:tc>
        <w:tc>
          <w:tcPr>
            <w:tcW w:w="939"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493</w:t>
            </w:r>
          </w:p>
        </w:tc>
        <w:tc>
          <w:tcPr>
            <w:tcW w:w="904"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85.1</w:t>
            </w:r>
          </w:p>
        </w:tc>
        <w:tc>
          <w:tcPr>
            <w:tcW w:w="992"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562</w:t>
            </w:r>
          </w:p>
        </w:tc>
        <w:tc>
          <w:tcPr>
            <w:tcW w:w="993"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97.1</w:t>
            </w:r>
          </w:p>
        </w:tc>
        <w:tc>
          <w:tcPr>
            <w:tcW w:w="992"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4</w:t>
            </w:r>
          </w:p>
        </w:tc>
        <w:tc>
          <w:tcPr>
            <w:tcW w:w="850"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0.7</w:t>
            </w:r>
          </w:p>
        </w:tc>
        <w:tc>
          <w:tcPr>
            <w:tcW w:w="903"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13</w:t>
            </w:r>
          </w:p>
        </w:tc>
        <w:tc>
          <w:tcPr>
            <w:tcW w:w="940"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2.2</w:t>
            </w:r>
          </w:p>
        </w:tc>
      </w:tr>
      <w:tr w:rsidR="0036350D" w:rsidTr="005F5E3F">
        <w:trPr>
          <w:cantSplit/>
          <w:trHeight w:val="425"/>
        </w:trPr>
        <w:tc>
          <w:tcPr>
            <w:tcW w:w="426" w:type="dxa"/>
            <w:vMerge/>
            <w:tcBorders>
              <w:top w:val="single" w:sz="4" w:space="0" w:color="808080" w:themeColor="background1" w:themeShade="80"/>
            </w:tcBorders>
            <w:textDirection w:val="btLr"/>
            <w:vAlign w:val="center"/>
          </w:tcPr>
          <w:p w:rsidR="0036350D"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36350D" w:rsidRDefault="0036350D"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603</w:t>
            </w:r>
          </w:p>
        </w:tc>
        <w:tc>
          <w:tcPr>
            <w:tcW w:w="939"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529</w:t>
            </w:r>
          </w:p>
        </w:tc>
        <w:tc>
          <w:tcPr>
            <w:tcW w:w="904"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87.7</w:t>
            </w:r>
          </w:p>
        </w:tc>
        <w:tc>
          <w:tcPr>
            <w:tcW w:w="992"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583</w:t>
            </w:r>
          </w:p>
        </w:tc>
        <w:tc>
          <w:tcPr>
            <w:tcW w:w="993"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96.7</w:t>
            </w:r>
          </w:p>
        </w:tc>
        <w:tc>
          <w:tcPr>
            <w:tcW w:w="992"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5</w:t>
            </w:r>
          </w:p>
        </w:tc>
        <w:tc>
          <w:tcPr>
            <w:tcW w:w="850"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0.8</w:t>
            </w:r>
          </w:p>
        </w:tc>
        <w:tc>
          <w:tcPr>
            <w:tcW w:w="903"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15</w:t>
            </w:r>
          </w:p>
        </w:tc>
        <w:tc>
          <w:tcPr>
            <w:tcW w:w="940" w:type="dxa"/>
            <w:tcBorders>
              <w:top w:val="single" w:sz="4" w:space="0" w:color="808080" w:themeColor="background1" w:themeShade="80"/>
            </w:tcBorders>
            <w:vAlign w:val="center"/>
          </w:tcPr>
          <w:p w:rsidR="0036350D" w:rsidRDefault="005F5E3F" w:rsidP="002E7263">
            <w:pPr>
              <w:jc w:val="right"/>
              <w:rPr>
                <w:rFonts w:asciiTheme="minorHAnsi" w:hAnsiTheme="minorHAnsi"/>
                <w:b/>
                <w:sz w:val="20"/>
                <w:szCs w:val="20"/>
              </w:rPr>
            </w:pPr>
            <w:r>
              <w:rPr>
                <w:rFonts w:asciiTheme="minorHAnsi" w:hAnsiTheme="minorHAnsi"/>
                <w:b/>
                <w:sz w:val="20"/>
                <w:szCs w:val="20"/>
              </w:rPr>
              <w:t>2.5</w:t>
            </w:r>
          </w:p>
        </w:tc>
      </w:tr>
    </w:tbl>
    <w:p w:rsidR="0036350D"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36350D" w:rsidRDefault="002B438D" w:rsidP="00ED3BDC">
      <w:r>
        <w:br w:type="page"/>
      </w:r>
    </w:p>
    <w:p w:rsidR="0036350D" w:rsidRDefault="002B438D" w:rsidP="00ED3BDC">
      <w:pPr>
        <w:rPr>
          <w:b/>
          <w:sz w:val="28"/>
        </w:rPr>
      </w:pPr>
      <w:r>
        <w:rPr>
          <w:b/>
          <w:sz w:val="28"/>
        </w:rPr>
        <w:lastRenderedPageBreak/>
        <w:t>Appendix 2: Bathing water quality map</w:t>
      </w:r>
    </w:p>
    <w:p w:rsidR="0036350D" w:rsidRDefault="0036350D" w:rsidP="00ED3BDC"/>
    <w:p w:rsidR="0036350D" w:rsidRDefault="003B3ACA" w:rsidP="00ED3BDC">
      <w:r>
        <w:rPr>
          <w:noProof/>
          <w:lang w:eastAsia="en-GB"/>
        </w:rPr>
        <w:drawing>
          <wp:inline distT="0" distB="0" distL="0" distR="0">
            <wp:extent cx="6188710" cy="8008919"/>
            <wp:effectExtent l="0" t="0" r="2540" b="0"/>
            <wp:docPr id="4" name="Picture 4" descr="D:\Projekti\BWD\BWD 2017\National reports\GIS\map\NationalReports\PNG\20180420\PT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PT_201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bookmarkStart w:id="6" w:name="_GoBack"/>
      <w:bookmarkEnd w:id="6"/>
    </w:p>
    <w:sectPr w:rsidR="0036350D" w:rsidSect="00344240">
      <w:headerReference w:type="even" r:id="rId18"/>
      <w:headerReference w:type="default" r:id="rId19"/>
      <w:footerReference w:type="even" r:id="rId20"/>
      <w:footerReference w:type="default" r:id="rId21"/>
      <w:headerReference w:type="first" r:id="rId22"/>
      <w:footerReference w:type="first" r:id="rId23"/>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4AD" w:rsidRDefault="00C564AD" w:rsidP="00ED3BDC">
      <w:r>
        <w:separator/>
      </w:r>
    </w:p>
  </w:endnote>
  <w:endnote w:type="continuationSeparator" w:id="0">
    <w:p w:rsidR="00C564AD" w:rsidRDefault="00C564AD" w:rsidP="00ED3BDC">
      <w:r>
        <w:continuationSeparator/>
      </w:r>
    </w:p>
  </w:endnote>
  <w:endnote w:type="continuationNotice" w:id="1">
    <w:p w:rsidR="00C564AD" w:rsidRDefault="00C564AD"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50D" w:rsidRDefault="00363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50D" w:rsidRDefault="003635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50D" w:rsidRDefault="00363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4AD" w:rsidRDefault="00C564AD" w:rsidP="00ED3BDC">
      <w:r>
        <w:separator/>
      </w:r>
    </w:p>
  </w:footnote>
  <w:footnote w:type="continuationSeparator" w:id="0">
    <w:p w:rsidR="00C564AD" w:rsidRDefault="00C564AD" w:rsidP="00ED3BDC">
      <w:r>
        <w:continuationSeparator/>
      </w:r>
    </w:p>
  </w:footnote>
  <w:footnote w:type="continuationNotice" w:id="1">
    <w:p w:rsidR="00C564AD" w:rsidRDefault="00C564AD"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50D" w:rsidRDefault="003635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50D" w:rsidRDefault="003635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50D"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350D"/>
    <w:rsid w:val="00366401"/>
    <w:rsid w:val="00393B2B"/>
    <w:rsid w:val="003B3ACA"/>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564AD"/>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zores.gov.pt/Gra/SRMCT-MAR/menus/secundario/Zonas+Balnear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pambiente.pt/index.php?ref=19&amp;subref=906"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ea.europa.eu/themes/water/interactive/bathing/state-of-bathing-wat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c.europa.eu/environment/water/index_en.htm" TargetMode="External"/><Relationship Id="rId23"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apambiente.pt/index.php?ref=19&amp;subref=906" TargetMode="External"/><Relationship Id="rId14" Type="http://schemas.openxmlformats.org/officeDocument/2006/relationships/hyperlink" Target="http://dramb.gov-madeira.pt/berilio/berwpag0.listctn?pCtn=103"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0.49380000000000002</c:v>
                </c:pt>
                <c:pt idx="1">
                  <c:v>0.74780000000000002</c:v>
                </c:pt>
                <c:pt idx="2">
                  <c:v>0.67730000000000001</c:v>
                </c:pt>
                <c:pt idx="3">
                  <c:v>0.74370000000000003</c:v>
                </c:pt>
                <c:pt idx="4">
                  <c:v>0.73050000000000004</c:v>
                </c:pt>
                <c:pt idx="5">
                  <c:v>0.78169999999999995</c:v>
                </c:pt>
                <c:pt idx="6">
                  <c:v>0.7893</c:v>
                </c:pt>
                <c:pt idx="7">
                  <c:v>0.77549999999999997</c:v>
                </c:pt>
                <c:pt idx="8">
                  <c:v>0.83089999999999997</c:v>
                </c:pt>
                <c:pt idx="9">
                  <c:v>0.81210000000000004</c:v>
                </c:pt>
                <c:pt idx="10">
                  <c:v>0.83609999999999995</c:v>
                </c:pt>
                <c:pt idx="11">
                  <c:v>0.87939999999999996</c:v>
                </c:pt>
                <c:pt idx="12">
                  <c:v>0.90100000000000002</c:v>
                </c:pt>
                <c:pt idx="13">
                  <c:v>0.86499999999999999</c:v>
                </c:pt>
                <c:pt idx="14">
                  <c:v>0.90820000000000001</c:v>
                </c:pt>
                <c:pt idx="15">
                  <c:v>0.90280000000000005</c:v>
                </c:pt>
                <c:pt idx="16">
                  <c:v>0.86650000000000005</c:v>
                </c:pt>
                <c:pt idx="17">
                  <c:v>0.89449999999999996</c:v>
                </c:pt>
                <c:pt idx="18">
                  <c:v>0.96840000000000004</c:v>
                </c:pt>
                <c:pt idx="19">
                  <c:v>0.89690000000000003</c:v>
                </c:pt>
                <c:pt idx="20">
                  <c:v>0.88170000000000004</c:v>
                </c:pt>
                <c:pt idx="21">
                  <c:v>0.91759999999999997</c:v>
                </c:pt>
                <c:pt idx="22">
                  <c:v>0.91930000000000001</c:v>
                </c:pt>
                <c:pt idx="23">
                  <c:v>0.87390000000000001</c:v>
                </c:pt>
                <c:pt idx="24">
                  <c:v>0.89570000000000005</c:v>
                </c:pt>
                <c:pt idx="25">
                  <c:v>0.8901</c:v>
                </c:pt>
                <c:pt idx="26">
                  <c:v>0.90629999999999999</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0.57499999999999996</c:v>
                </c:pt>
                <c:pt idx="1">
                  <c:v>0.82740000000000002</c:v>
                </c:pt>
                <c:pt idx="2">
                  <c:v>0.80830000000000002</c:v>
                </c:pt>
                <c:pt idx="3">
                  <c:v>0.83230000000000004</c:v>
                </c:pt>
                <c:pt idx="4">
                  <c:v>0.79339999999999999</c:v>
                </c:pt>
                <c:pt idx="5">
                  <c:v>0.86729999999999996</c:v>
                </c:pt>
                <c:pt idx="6">
                  <c:v>0.89910000000000001</c:v>
                </c:pt>
                <c:pt idx="7">
                  <c:v>0.8921</c:v>
                </c:pt>
                <c:pt idx="8">
                  <c:v>0.93879999999999997</c:v>
                </c:pt>
                <c:pt idx="9">
                  <c:v>0.91910000000000003</c:v>
                </c:pt>
                <c:pt idx="10">
                  <c:v>0.96719999999999995</c:v>
                </c:pt>
                <c:pt idx="11">
                  <c:v>0.98660000000000003</c:v>
                </c:pt>
                <c:pt idx="12">
                  <c:v>0.98440000000000005</c:v>
                </c:pt>
                <c:pt idx="13">
                  <c:v>0.97750000000000004</c:v>
                </c:pt>
                <c:pt idx="14">
                  <c:v>0.9758</c:v>
                </c:pt>
                <c:pt idx="15">
                  <c:v>0.97629999999999995</c:v>
                </c:pt>
                <c:pt idx="16">
                  <c:v>0.94610000000000005</c:v>
                </c:pt>
                <c:pt idx="17">
                  <c:v>0.98619999999999997</c:v>
                </c:pt>
                <c:pt idx="18">
                  <c:v>0.98650000000000004</c:v>
                </c:pt>
                <c:pt idx="19">
                  <c:v>0.99280000000000002</c:v>
                </c:pt>
                <c:pt idx="20">
                  <c:v>0.9698</c:v>
                </c:pt>
                <c:pt idx="21">
                  <c:v>0.97709999999999997</c:v>
                </c:pt>
                <c:pt idx="22">
                  <c:v>0.97760000000000002</c:v>
                </c:pt>
                <c:pt idx="23">
                  <c:v>0.96240000000000003</c:v>
                </c:pt>
                <c:pt idx="24">
                  <c:v>0.97829999999999995</c:v>
                </c:pt>
                <c:pt idx="25">
                  <c:v>0.97840000000000005</c:v>
                </c:pt>
                <c:pt idx="26">
                  <c:v>0.97709999999999997</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8.1299999999999997E-2</c:v>
                </c:pt>
                <c:pt idx="1">
                  <c:v>8.8499999999999995E-2</c:v>
                </c:pt>
                <c:pt idx="2">
                  <c:v>8.3099999999999993E-2</c:v>
                </c:pt>
                <c:pt idx="3">
                  <c:v>8.2299999999999998E-2</c:v>
                </c:pt>
                <c:pt idx="4">
                  <c:v>0.15870000000000001</c:v>
                </c:pt>
                <c:pt idx="5">
                  <c:v>0.1239</c:v>
                </c:pt>
                <c:pt idx="6">
                  <c:v>9.7900000000000001E-2</c:v>
                </c:pt>
                <c:pt idx="7">
                  <c:v>9.3299999999999994E-2</c:v>
                </c:pt>
                <c:pt idx="8">
                  <c:v>6.1199999999999997E-2</c:v>
                </c:pt>
                <c:pt idx="9">
                  <c:v>8.09E-2</c:v>
                </c:pt>
                <c:pt idx="10">
                  <c:v>1.6400000000000001E-2</c:v>
                </c:pt>
                <c:pt idx="11">
                  <c:v>1.34E-2</c:v>
                </c:pt>
                <c:pt idx="12">
                  <c:v>1.5599999999999999E-2</c:v>
                </c:pt>
                <c:pt idx="13">
                  <c:v>2.2499999999999999E-2</c:v>
                </c:pt>
                <c:pt idx="14">
                  <c:v>2.4199999999999999E-2</c:v>
                </c:pt>
                <c:pt idx="15">
                  <c:v>1.4200000000000001E-2</c:v>
                </c:pt>
                <c:pt idx="16">
                  <c:v>4.9200000000000001E-2</c:v>
                </c:pt>
                <c:pt idx="17">
                  <c:v>1.15E-2</c:v>
                </c:pt>
                <c:pt idx="18">
                  <c:v>8.9999999999999993E-3</c:v>
                </c:pt>
                <c:pt idx="19">
                  <c:v>7.1999999999999998E-3</c:v>
                </c:pt>
                <c:pt idx="20">
                  <c:v>4.5999999999999999E-3</c:v>
                </c:pt>
                <c:pt idx="21">
                  <c:v>2.3E-3</c:v>
                </c:pt>
                <c:pt idx="22">
                  <c:v>0</c:v>
                </c:pt>
                <c:pt idx="23">
                  <c:v>1.11E-2</c:v>
                </c:pt>
                <c:pt idx="24">
                  <c:v>6.4999999999999997E-3</c:v>
                </c:pt>
                <c:pt idx="25">
                  <c:v>8.6E-3</c:v>
                </c:pt>
                <c:pt idx="26">
                  <c:v>6.3E-3</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0.34379999999999999</c:v>
                </c:pt>
                <c:pt idx="1">
                  <c:v>8.4099999999999994E-2</c:v>
                </c:pt>
                <c:pt idx="2">
                  <c:v>0.1086</c:v>
                </c:pt>
                <c:pt idx="3">
                  <c:v>8.5400000000000004E-2</c:v>
                </c:pt>
                <c:pt idx="4">
                  <c:v>4.7899999999999998E-2</c:v>
                </c:pt>
                <c:pt idx="5">
                  <c:v>8.8000000000000005E-3</c:v>
                </c:pt>
                <c:pt idx="6">
                  <c:v>3.0000000000000001E-3</c:v>
                </c:pt>
                <c:pt idx="7">
                  <c:v>1.46E-2</c:v>
                </c:pt>
                <c:pt idx="8">
                  <c:v>0</c:v>
                </c:pt>
                <c:pt idx="9">
                  <c:v>0</c:v>
                </c:pt>
                <c:pt idx="10">
                  <c:v>1.6400000000000001E-2</c:v>
                </c:pt>
                <c:pt idx="11">
                  <c:v>0</c:v>
                </c:pt>
                <c:pt idx="12">
                  <c:v>0</c:v>
                </c:pt>
                <c:pt idx="13">
                  <c:v>0</c:v>
                </c:pt>
                <c:pt idx="14">
                  <c:v>0</c:v>
                </c:pt>
                <c:pt idx="15">
                  <c:v>9.4999999999999998E-3</c:v>
                </c:pt>
                <c:pt idx="16">
                  <c:v>4.7000000000000002E-3</c:v>
                </c:pt>
                <c:pt idx="17">
                  <c:v>2.3E-3</c:v>
                </c:pt>
                <c:pt idx="18">
                  <c:v>4.4999999999999997E-3</c:v>
                </c:pt>
                <c:pt idx="19">
                  <c:v>0</c:v>
                </c:pt>
                <c:pt idx="20">
                  <c:v>2.5499999999999998E-2</c:v>
                </c:pt>
                <c:pt idx="21">
                  <c:v>2.06E-2</c:v>
                </c:pt>
                <c:pt idx="22">
                  <c:v>2.24E-2</c:v>
                </c:pt>
                <c:pt idx="23">
                  <c:v>2.6499999999999999E-2</c:v>
                </c:pt>
                <c:pt idx="24">
                  <c:v>1.52E-2</c:v>
                </c:pt>
                <c:pt idx="25">
                  <c:v>1.29E-2</c:v>
                </c:pt>
                <c:pt idx="26">
                  <c:v>1.67E-2</c:v>
                </c:pt>
              </c:numCache>
            </c:numRef>
          </c:val>
          <c:smooth val="0"/>
        </c:ser>
        <c:dLbls>
          <c:showLegendKey val="0"/>
          <c:showVal val="0"/>
          <c:showCatName val="0"/>
          <c:showSerName val="0"/>
          <c:showPercent val="0"/>
          <c:showBubbleSize val="0"/>
        </c:dLbls>
        <c:marker val="1"/>
        <c:smooth val="0"/>
        <c:axId val="178413952"/>
        <c:axId val="178415488"/>
      </c:lineChart>
      <c:catAx>
        <c:axId val="178413952"/>
        <c:scaling>
          <c:orientation val="minMax"/>
        </c:scaling>
        <c:delete val="0"/>
        <c:axPos val="b"/>
        <c:numFmt formatCode="@" sourceLinked="0"/>
        <c:majorTickMark val="out"/>
        <c:minorTickMark val="none"/>
        <c:tickLblPos val="nextTo"/>
        <c:crossAx val="178415488"/>
        <c:crosses val="autoZero"/>
        <c:auto val="1"/>
        <c:lblAlgn val="ctr"/>
        <c:lblOffset val="100"/>
        <c:noMultiLvlLbl val="0"/>
      </c:catAx>
      <c:valAx>
        <c:axId val="178415488"/>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78413952"/>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Feuil1!$A$2:$A$26</c:f>
              <c:numCache>
                <c:formatCode>General</c:formatCode>
                <c:ptCount val="25"/>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numCache>
            </c:numRef>
          </c:cat>
          <c:val>
            <c:numRef>
              <c:f>Feuil1!$B$2:$B$26</c:f>
              <c:numCache>
                <c:formatCode>General</c:formatCode>
                <c:ptCount val="25"/>
                <c:pt idx="0">
                  <c:v>4.3499999999999997E-2</c:v>
                </c:pt>
                <c:pt idx="1">
                  <c:v>0.26090000000000002</c:v>
                </c:pt>
                <c:pt idx="2">
                  <c:v>0.08</c:v>
                </c:pt>
                <c:pt idx="3">
                  <c:v>0.12</c:v>
                </c:pt>
                <c:pt idx="4">
                  <c:v>8.6999999999999994E-2</c:v>
                </c:pt>
                <c:pt idx="5">
                  <c:v>0.1739</c:v>
                </c:pt>
                <c:pt idx="6">
                  <c:v>0.19439999999999999</c:v>
                </c:pt>
                <c:pt idx="7">
                  <c:v>0.31709999999999999</c:v>
                </c:pt>
                <c:pt idx="8">
                  <c:v>0.21049999999999999</c:v>
                </c:pt>
                <c:pt idx="9">
                  <c:v>0.1429</c:v>
                </c:pt>
                <c:pt idx="10">
                  <c:v>0.1091</c:v>
                </c:pt>
                <c:pt idx="11">
                  <c:v>0.21920000000000001</c:v>
                </c:pt>
                <c:pt idx="12">
                  <c:v>0.4521</c:v>
                </c:pt>
                <c:pt idx="13">
                  <c:v>0.58140000000000003</c:v>
                </c:pt>
                <c:pt idx="14">
                  <c:v>0.43480000000000002</c:v>
                </c:pt>
                <c:pt idx="15">
                  <c:v>0.42270000000000002</c:v>
                </c:pt>
                <c:pt idx="16">
                  <c:v>0.58760000000000001</c:v>
                </c:pt>
                <c:pt idx="17">
                  <c:v>0.52</c:v>
                </c:pt>
                <c:pt idx="18">
                  <c:v>0.62649999999999995</c:v>
                </c:pt>
                <c:pt idx="19">
                  <c:v>0.62919999999999998</c:v>
                </c:pt>
                <c:pt idx="20">
                  <c:v>0.59789999999999999</c:v>
                </c:pt>
                <c:pt idx="21">
                  <c:v>0.52829999999999999</c:v>
                </c:pt>
                <c:pt idx="22">
                  <c:v>0.63300000000000001</c:v>
                </c:pt>
                <c:pt idx="23">
                  <c:v>0.69569999999999999</c:v>
                </c:pt>
                <c:pt idx="24">
                  <c:v>0.76419999999999999</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Feuil1!$A$2:$A$26</c:f>
              <c:numCache>
                <c:formatCode>General</c:formatCode>
                <c:ptCount val="25"/>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numCache>
            </c:numRef>
          </c:cat>
          <c:val>
            <c:numRef>
              <c:f>Feuil1!$C$2:$C$26</c:f>
              <c:numCache>
                <c:formatCode>General</c:formatCode>
                <c:ptCount val="25"/>
                <c:pt idx="0">
                  <c:v>0.26090000000000002</c:v>
                </c:pt>
                <c:pt idx="1">
                  <c:v>0.69569999999999999</c:v>
                </c:pt>
                <c:pt idx="2">
                  <c:v>0.24</c:v>
                </c:pt>
                <c:pt idx="3">
                  <c:v>0.52</c:v>
                </c:pt>
                <c:pt idx="4">
                  <c:v>0.21740000000000001</c:v>
                </c:pt>
                <c:pt idx="5">
                  <c:v>0.43480000000000002</c:v>
                </c:pt>
                <c:pt idx="6">
                  <c:v>0.77780000000000005</c:v>
                </c:pt>
                <c:pt idx="7">
                  <c:v>0.70730000000000004</c:v>
                </c:pt>
                <c:pt idx="8">
                  <c:v>0.84209999999999996</c:v>
                </c:pt>
                <c:pt idx="9">
                  <c:v>0.97619999999999996</c:v>
                </c:pt>
                <c:pt idx="10">
                  <c:v>0.96360000000000001</c:v>
                </c:pt>
                <c:pt idx="11">
                  <c:v>0.97260000000000002</c:v>
                </c:pt>
                <c:pt idx="12">
                  <c:v>0.95889999999999997</c:v>
                </c:pt>
                <c:pt idx="13">
                  <c:v>0.88370000000000004</c:v>
                </c:pt>
                <c:pt idx="14">
                  <c:v>0.93479999999999996</c:v>
                </c:pt>
                <c:pt idx="15">
                  <c:v>0.92779999999999996</c:v>
                </c:pt>
                <c:pt idx="16">
                  <c:v>0.89690000000000003</c:v>
                </c:pt>
                <c:pt idx="17">
                  <c:v>0.96</c:v>
                </c:pt>
                <c:pt idx="18">
                  <c:v>0.89159999999999995</c:v>
                </c:pt>
                <c:pt idx="19">
                  <c:v>0.89890000000000003</c:v>
                </c:pt>
                <c:pt idx="20">
                  <c:v>0.84540000000000004</c:v>
                </c:pt>
                <c:pt idx="21">
                  <c:v>0.85850000000000004</c:v>
                </c:pt>
                <c:pt idx="22">
                  <c:v>0.89910000000000001</c:v>
                </c:pt>
                <c:pt idx="23">
                  <c:v>0.93910000000000005</c:v>
                </c:pt>
                <c:pt idx="24">
                  <c:v>0.92679999999999996</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Feuil1!$A$2:$A$26</c:f>
              <c:numCache>
                <c:formatCode>General</c:formatCode>
                <c:ptCount val="25"/>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numCache>
            </c:numRef>
          </c:cat>
          <c:val>
            <c:numRef>
              <c:f>Feuil1!$D$2:$D$26</c:f>
              <c:numCache>
                <c:formatCode>General</c:formatCode>
                <c:ptCount val="25"/>
                <c:pt idx="0">
                  <c:v>4.3499999999999997E-2</c:v>
                </c:pt>
                <c:pt idx="1">
                  <c:v>8.6999999999999994E-2</c:v>
                </c:pt>
                <c:pt idx="2">
                  <c:v>0.04</c:v>
                </c:pt>
                <c:pt idx="3">
                  <c:v>0.32</c:v>
                </c:pt>
                <c:pt idx="4">
                  <c:v>0.69569999999999999</c:v>
                </c:pt>
                <c:pt idx="5">
                  <c:v>0.52170000000000005</c:v>
                </c:pt>
                <c:pt idx="6">
                  <c:v>0.22220000000000001</c:v>
                </c:pt>
                <c:pt idx="7">
                  <c:v>0.29270000000000002</c:v>
                </c:pt>
                <c:pt idx="8">
                  <c:v>0.15790000000000001</c:v>
                </c:pt>
                <c:pt idx="9">
                  <c:v>2.3800000000000002E-2</c:v>
                </c:pt>
                <c:pt idx="10">
                  <c:v>3.6400000000000002E-2</c:v>
                </c:pt>
                <c:pt idx="11">
                  <c:v>2.7400000000000001E-2</c:v>
                </c:pt>
                <c:pt idx="12">
                  <c:v>4.1099999999999998E-2</c:v>
                </c:pt>
                <c:pt idx="13">
                  <c:v>9.2999999999999999E-2</c:v>
                </c:pt>
                <c:pt idx="14">
                  <c:v>1.09E-2</c:v>
                </c:pt>
                <c:pt idx="15">
                  <c:v>2.06E-2</c:v>
                </c:pt>
                <c:pt idx="16">
                  <c:v>3.09E-2</c:v>
                </c:pt>
                <c:pt idx="17">
                  <c:v>0.04</c:v>
                </c:pt>
                <c:pt idx="18">
                  <c:v>4.82E-2</c:v>
                </c:pt>
                <c:pt idx="19">
                  <c:v>3.3700000000000001E-2</c:v>
                </c:pt>
                <c:pt idx="20">
                  <c:v>2.06E-2</c:v>
                </c:pt>
                <c:pt idx="21">
                  <c:v>9.4000000000000004E-3</c:v>
                </c:pt>
                <c:pt idx="22">
                  <c:v>0</c:v>
                </c:pt>
                <c:pt idx="23">
                  <c:v>0</c:v>
                </c:pt>
                <c:pt idx="24">
                  <c:v>1.6299999999999999E-2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Feuil1!$A$2:$A$26</c:f>
              <c:numCache>
                <c:formatCode>General</c:formatCode>
                <c:ptCount val="25"/>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2009</c:v>
                </c:pt>
                <c:pt idx="17">
                  <c:v>2010</c:v>
                </c:pt>
                <c:pt idx="18">
                  <c:v>2011</c:v>
                </c:pt>
                <c:pt idx="19">
                  <c:v>2012</c:v>
                </c:pt>
                <c:pt idx="20">
                  <c:v>2013</c:v>
                </c:pt>
                <c:pt idx="21">
                  <c:v>2014</c:v>
                </c:pt>
                <c:pt idx="22">
                  <c:v>2015</c:v>
                </c:pt>
                <c:pt idx="23">
                  <c:v>2016</c:v>
                </c:pt>
                <c:pt idx="24">
                  <c:v>2017</c:v>
                </c:pt>
              </c:numCache>
            </c:numRef>
          </c:cat>
          <c:val>
            <c:numRef>
              <c:f>Feuil1!$E$2:$E$26</c:f>
              <c:numCache>
                <c:formatCode>General</c:formatCode>
                <c:ptCount val="25"/>
                <c:pt idx="0">
                  <c:v>0.69569999999999999</c:v>
                </c:pt>
                <c:pt idx="1">
                  <c:v>0.21740000000000001</c:v>
                </c:pt>
                <c:pt idx="2">
                  <c:v>0.72</c:v>
                </c:pt>
                <c:pt idx="3">
                  <c:v>0.16</c:v>
                </c:pt>
                <c:pt idx="4">
                  <c:v>8.6999999999999994E-2</c:v>
                </c:pt>
                <c:pt idx="5">
                  <c:v>4.3499999999999997E-2</c:v>
                </c:pt>
                <c:pt idx="6">
                  <c:v>0</c:v>
                </c:pt>
                <c:pt idx="7">
                  <c:v>0</c:v>
                </c:pt>
                <c:pt idx="8">
                  <c:v>0</c:v>
                </c:pt>
                <c:pt idx="9">
                  <c:v>0</c:v>
                </c:pt>
                <c:pt idx="10">
                  <c:v>0</c:v>
                </c:pt>
                <c:pt idx="11">
                  <c:v>0</c:v>
                </c:pt>
                <c:pt idx="12">
                  <c:v>0</c:v>
                </c:pt>
                <c:pt idx="13">
                  <c:v>2.3300000000000001E-2</c:v>
                </c:pt>
                <c:pt idx="14">
                  <c:v>5.4300000000000001E-2</c:v>
                </c:pt>
                <c:pt idx="15">
                  <c:v>5.1499999999999997E-2</c:v>
                </c:pt>
                <c:pt idx="16">
                  <c:v>7.22E-2</c:v>
                </c:pt>
                <c:pt idx="17">
                  <c:v>0</c:v>
                </c:pt>
                <c:pt idx="18">
                  <c:v>6.0199999999999997E-2</c:v>
                </c:pt>
                <c:pt idx="19">
                  <c:v>6.7400000000000002E-2</c:v>
                </c:pt>
                <c:pt idx="20">
                  <c:v>0.13400000000000001</c:v>
                </c:pt>
                <c:pt idx="21">
                  <c:v>0.1321</c:v>
                </c:pt>
                <c:pt idx="22">
                  <c:v>0.1009</c:v>
                </c:pt>
                <c:pt idx="23">
                  <c:v>6.0900000000000003E-2</c:v>
                </c:pt>
                <c:pt idx="24">
                  <c:v>5.6899999999999999E-2</c:v>
                </c:pt>
              </c:numCache>
            </c:numRef>
          </c:val>
          <c:smooth val="0"/>
        </c:ser>
        <c:dLbls>
          <c:showLegendKey val="0"/>
          <c:showVal val="0"/>
          <c:showCatName val="0"/>
          <c:showSerName val="0"/>
          <c:showPercent val="0"/>
          <c:showBubbleSize val="0"/>
        </c:dLbls>
        <c:marker val="1"/>
        <c:smooth val="0"/>
        <c:axId val="182681600"/>
        <c:axId val="182683136"/>
      </c:lineChart>
      <c:catAx>
        <c:axId val="182681600"/>
        <c:scaling>
          <c:orientation val="minMax"/>
        </c:scaling>
        <c:delete val="0"/>
        <c:axPos val="b"/>
        <c:numFmt formatCode="@" sourceLinked="0"/>
        <c:majorTickMark val="out"/>
        <c:minorTickMark val="none"/>
        <c:tickLblPos val="nextTo"/>
        <c:crossAx val="182683136"/>
        <c:crosses val="autoZero"/>
        <c:auto val="1"/>
        <c:lblAlgn val="ctr"/>
        <c:lblOffset val="100"/>
        <c:noMultiLvlLbl val="0"/>
      </c:catAx>
      <c:valAx>
        <c:axId val="182683136"/>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182681600"/>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CF810-166F-4616-A32A-9B73A517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8</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2018-04-25T16:07:00Z</dcterms:modified>
</cp:coreProperties>
</file>