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00" w:rsidRDefault="00810600" w:rsidP="00ED3BDC"/>
    <w:p w:rsidR="00810600" w:rsidRDefault="00E95009" w:rsidP="00B67D96">
      <w:pPr>
        <w:jc w:val="center"/>
        <w:rPr>
          <w:rFonts w:cs="Arial"/>
          <w:b/>
          <w:bCs/>
          <w:sz w:val="32"/>
        </w:rPr>
      </w:pPr>
      <w:r>
        <w:rPr>
          <w:b/>
          <w:sz w:val="32"/>
        </w:rPr>
        <w:t xml:space="preserve">BWD Report For the Bathing Season </w:t>
      </w:r>
      <w:r>
        <w:rPr>
          <w:rFonts w:cs="Arial"/>
          <w:b/>
          <w:bCs/>
          <w:sz w:val="32"/>
        </w:rPr>
        <w:t>2017</w:t>
      </w:r>
    </w:p>
    <w:p w:rsidR="00810600" w:rsidRDefault="0079462E" w:rsidP="00B67D96">
      <w:pPr>
        <w:jc w:val="center"/>
        <w:rPr>
          <w:b/>
          <w:sz w:val="40"/>
        </w:rPr>
      </w:pPr>
      <w:r>
        <w:rPr>
          <w:b/>
          <w:sz w:val="40"/>
        </w:rPr>
        <w:t>Poland</w:t>
      </w:r>
    </w:p>
    <w:p w:rsidR="00810600" w:rsidRDefault="00810600" w:rsidP="00ED3BDC"/>
    <w:p w:rsidR="00810600" w:rsidRDefault="00810600" w:rsidP="00ED3BDC"/>
    <w:p w:rsidR="00810600"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Poland.</w:t>
      </w:r>
    </w:p>
    <w:p w:rsidR="00810600" w:rsidRDefault="00810600" w:rsidP="00ED3BDC"/>
    <w:p w:rsidR="00810600" w:rsidRDefault="00810600" w:rsidP="00ED3BDC"/>
    <w:p w:rsidR="00810600" w:rsidRDefault="0079462E" w:rsidP="00ED3BDC">
      <w:pPr>
        <w:pStyle w:val="Heading1"/>
      </w:pPr>
      <w:r>
        <w:t xml:space="preserve">BWD reporting in the season </w:t>
      </w:r>
      <w:r>
        <w:rPr>
          <w:szCs w:val="28"/>
        </w:rPr>
        <w:t>2017</w:t>
      </w:r>
    </w:p>
    <w:p w:rsidR="00810600" w:rsidRDefault="00810600" w:rsidP="00ED3BDC"/>
    <w:p w:rsidR="00810600"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810600" w:rsidRDefault="0079462E" w:rsidP="00442644">
                            <w:pPr>
                              <w:jc w:val="center"/>
                              <w:rPr>
                                <w:rFonts w:asciiTheme="minorHAnsi" w:hAnsiTheme="minorHAnsi"/>
                                <w:b/>
                              </w:rPr>
                            </w:pPr>
                            <w:r>
                              <w:rPr>
                                <w:rFonts w:asciiTheme="minorHAnsi" w:hAnsiTheme="minorHAnsi"/>
                                <w:b/>
                              </w:rPr>
                              <w:t>Bathing waters of Poland in 2017</w:t>
                            </w:r>
                          </w:p>
                          <w:p w:rsidR="00810600" w:rsidRDefault="00810600" w:rsidP="00ED3BDC">
                            <w:pPr>
                              <w:rPr>
                                <w:rFonts w:asciiTheme="minorHAnsi" w:hAnsiTheme="minorHAnsi"/>
                                <w:sz w:val="20"/>
                              </w:rPr>
                            </w:pPr>
                          </w:p>
                          <w:p w:rsidR="00810600"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205</w:t>
                            </w:r>
                          </w:p>
                          <w:p w:rsidR="0081060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97</w:t>
                            </w:r>
                          </w:p>
                          <w:p w:rsidR="00810600"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108</w:t>
                            </w:r>
                          </w:p>
                          <w:p w:rsidR="00810600" w:rsidRDefault="00810600" w:rsidP="00DB3D3B">
                            <w:pPr>
                              <w:tabs>
                                <w:tab w:val="right" w:pos="3544"/>
                              </w:tabs>
                              <w:rPr>
                                <w:rFonts w:asciiTheme="minorHAnsi" w:hAnsiTheme="minorHAnsi"/>
                                <w:sz w:val="20"/>
                              </w:rPr>
                            </w:pPr>
                          </w:p>
                          <w:p w:rsidR="00810600"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108 / 93 days</w:t>
                            </w:r>
                          </w:p>
                          <w:p w:rsidR="0081060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15 Jun to 17 Sep</w:t>
                            </w:r>
                          </w:p>
                          <w:p w:rsidR="00810600"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15 Jun to 30 Sep</w:t>
                            </w:r>
                          </w:p>
                          <w:p w:rsidR="00810600" w:rsidRDefault="00810600" w:rsidP="00ED3BDC">
                            <w:pPr>
                              <w:rPr>
                                <w:rFonts w:asciiTheme="minorHAnsi" w:hAnsiTheme="minorHAnsi"/>
                                <w:sz w:val="20"/>
                              </w:rPr>
                            </w:pPr>
                          </w:p>
                          <w:p w:rsidR="00810600"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1112</w:t>
                            </w:r>
                          </w:p>
                          <w:p w:rsidR="00810600" w:rsidRDefault="00810600" w:rsidP="00ED3BDC">
                            <w:pPr>
                              <w:rPr>
                                <w:rFonts w:asciiTheme="minorHAnsi" w:hAnsiTheme="minorHAnsi"/>
                                <w:sz w:val="20"/>
                              </w:rPr>
                            </w:pPr>
                          </w:p>
                          <w:p w:rsidR="00810600"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80 %</w:t>
                            </w:r>
                          </w:p>
                          <w:p w:rsidR="00810600" w:rsidRDefault="0079462E" w:rsidP="00ED3BDC">
                            <w:pPr>
                              <w:rPr>
                                <w:rFonts w:asciiTheme="minorHAnsi" w:hAnsiTheme="minorHAnsi"/>
                                <w:b/>
                                <w:sz w:val="20"/>
                              </w:rPr>
                            </w:pPr>
                            <w:r>
                              <w:rPr>
                                <w:rFonts w:asciiTheme="minorHAnsi" w:hAnsiTheme="minorHAnsi"/>
                                <w:b/>
                                <w:sz w:val="20"/>
                              </w:rPr>
                              <w:t xml:space="preserve">with good or excellent </w:t>
                            </w:r>
                          </w:p>
                          <w:p w:rsidR="00810600" w:rsidRDefault="0079462E" w:rsidP="00ED3BDC">
                            <w:pPr>
                              <w:rPr>
                                <w:rFonts w:asciiTheme="minorHAnsi" w:hAnsiTheme="minorHAnsi"/>
                                <w:b/>
                                <w:sz w:val="20"/>
                              </w:rPr>
                            </w:pPr>
                            <w:r>
                              <w:rPr>
                                <w:rFonts w:asciiTheme="minorHAnsi" w:hAnsiTheme="minorHAnsi"/>
                                <w:b/>
                                <w:sz w:val="20"/>
                              </w:rPr>
                              <w:t>water quality</w:t>
                            </w:r>
                          </w:p>
                          <w:p w:rsidR="00810600" w:rsidRDefault="00810600" w:rsidP="00ED3BDC">
                            <w:pPr>
                              <w:rPr>
                                <w:rFonts w:asciiTheme="minorHAnsi" w:hAnsiTheme="minorHAnsi"/>
                                <w:sz w:val="20"/>
                              </w:rPr>
                            </w:pPr>
                          </w:p>
                          <w:p w:rsidR="00810600"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2011</w:t>
                            </w:r>
                          </w:p>
                          <w:p w:rsidR="00810600"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Poland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205</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97</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108</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108 / 93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15 Jun to 17 Sep</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15 Jun to 30 Sep</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1112</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80 %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2011</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205 bathing waters have been reported in Poland. For each bathing water, five groups of parameters have been delivered</w:t>
      </w:r>
      <w:r>
        <w:rPr>
          <w:rStyle w:val="FootnoteReference"/>
        </w:rPr>
        <w:footnoteReference w:id="3"/>
      </w:r>
      <w:r>
        <w:t>:</w:t>
      </w:r>
    </w:p>
    <w:p w:rsidR="0081060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81060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81060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810600"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81060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810600" w:rsidRDefault="00810600" w:rsidP="00ED3BDC"/>
    <w:p w:rsidR="00810600" w:rsidRDefault="0079462E" w:rsidP="00ED3BDC">
      <w:r>
        <w:t xml:space="preserve">The authorities of </w:t>
      </w:r>
      <w:r>
        <w:rPr>
          <w:rFonts w:ascii="Cambria" w:hAnsi="Cambria"/>
        </w:rPr>
        <w:t>Poland</w:t>
      </w:r>
      <w:r>
        <w:t xml:space="preserve"> report data according to the new BWD (2006/7/EC) since the season </w:t>
      </w:r>
      <w:r>
        <w:rPr>
          <w:rFonts w:ascii="Cambria" w:hAnsi="Cambria"/>
        </w:rPr>
        <w:t>2011</w:t>
      </w:r>
      <w:r>
        <w:t>.</w:t>
      </w:r>
    </w:p>
    <w:p w:rsidR="00810600" w:rsidRDefault="00810600" w:rsidP="00ED3BDC"/>
    <w:p w:rsidR="00810600" w:rsidRDefault="0079462E" w:rsidP="00ED3BDC">
      <w:r>
        <w:t xml:space="preserve">Altogether, </w:t>
      </w:r>
      <w:r>
        <w:rPr>
          <w:rFonts w:ascii="Cambria" w:hAnsi="Cambria"/>
          <w:b/>
        </w:rPr>
        <w:t>205</w:t>
      </w:r>
      <w:r>
        <w:rPr>
          <w:rFonts w:ascii="Cambria" w:hAnsi="Cambria"/>
        </w:rPr>
        <w:t xml:space="preserve"> </w:t>
      </w:r>
      <w:r>
        <w:rPr>
          <w:b/>
        </w:rPr>
        <w:t xml:space="preserve">bathing waters </w:t>
      </w:r>
      <w:r>
        <w:t xml:space="preserve">have been reported – 0.9% of all bathing waters in Europe. </w:t>
      </w:r>
      <w:r w:rsidR="0044134B">
        <w:t>12</w:t>
      </w:r>
      <w:r>
        <w:t xml:space="preserve"> bathing waters have been newly reported in the recent season. 47% of bathing waters in Poland are of coastal type; the other 53% are inland. </w:t>
      </w:r>
      <w:r>
        <w:rPr>
          <w:b/>
        </w:rPr>
        <w:t>1112 samples</w:t>
      </w:r>
      <w:r>
        <w:t xml:space="preserve"> were taken at bathing waters throughout the season – 5 per bathing water on average.</w:t>
      </w:r>
    </w:p>
    <w:p w:rsidR="00810600" w:rsidRDefault="00810600" w:rsidP="00ED3BDC"/>
    <w:p w:rsidR="00810600" w:rsidRDefault="002B438D" w:rsidP="00ED3BDC">
      <w:r>
        <w:lastRenderedPageBreak/>
        <w:t xml:space="preserve">The maximum bathing season period was from 15 June to 17 September for coastal bathing waters, i.e. 93 days altogether. </w:t>
      </w:r>
      <w:r w:rsidR="00E61218">
        <w:t>Maximum inland bathing season period was from 15 June to 30 September, i.e. 108 days.</w:t>
      </w:r>
      <w:r w:rsidR="0044134B">
        <w:t xml:space="preserve"> Season duration varies depending on the bathing water.</w:t>
      </w:r>
    </w:p>
    <w:p w:rsidR="00810600" w:rsidRDefault="00810600" w:rsidP="00ED3BDC"/>
    <w:p w:rsidR="00810600" w:rsidRDefault="002B438D" w:rsidP="00ED3BDC">
      <w:r>
        <w:t xml:space="preserve">Detailed information on bathing waters is available from national portal at </w:t>
      </w:r>
      <w:hyperlink r:id="rId9" w:history="1">
        <w:r w:rsidR="0044134B" w:rsidRPr="003F4ABB">
          <w:rPr>
            <w:rStyle w:val="Hyperlink"/>
          </w:rPr>
          <w:t>https://sk.gis.gov.pl/index.php/strona/content/7</w:t>
        </w:r>
      </w:hyperlink>
      <w:r>
        <w:t>.</w:t>
      </w:r>
    </w:p>
    <w:p w:rsidR="00810600" w:rsidRDefault="00810600" w:rsidP="00ED3BDC"/>
    <w:p w:rsidR="00810600" w:rsidRDefault="00810600" w:rsidP="00ED3BDC"/>
    <w:p w:rsidR="00810600" w:rsidRDefault="002B438D" w:rsidP="00ED3BDC">
      <w:pPr>
        <w:pStyle w:val="Heading1"/>
      </w:pPr>
      <w:r>
        <w:t>Assessment methodology</w:t>
      </w:r>
      <w:r>
        <w:rPr>
          <w:rStyle w:val="FootnoteReference"/>
        </w:rPr>
        <w:footnoteReference w:id="4"/>
      </w:r>
    </w:p>
    <w:p w:rsidR="00810600" w:rsidRDefault="00810600" w:rsidP="00ED3BDC"/>
    <w:p w:rsidR="00810600"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810600" w:rsidRDefault="00810600" w:rsidP="00ED3BDC"/>
    <w:p w:rsidR="00810600" w:rsidRDefault="003F038E" w:rsidP="00ED3BDC">
      <w:r>
        <w:t>The monitoring requirements under the Directive are:</w:t>
      </w:r>
    </w:p>
    <w:p w:rsidR="0081060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81060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810600"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810600" w:rsidRDefault="00810600" w:rsidP="00ED3BDC"/>
    <w:p w:rsidR="00810600" w:rsidRDefault="003F038E" w:rsidP="003F038E">
      <w:r>
        <w:t xml:space="preserve">If these rules are satisfied, the bathing water is categorised as 'sampling frequency satisfied'. If not all monitoring requirements are fulfilled the bathing water is categorised as 'not enough samples'. 88.8%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810600" w:rsidRDefault="00810600" w:rsidP="00ED3BDC"/>
    <w:p w:rsidR="00810600"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810600" w:rsidTr="00484359">
        <w:trPr>
          <w:trHeight w:val="343"/>
        </w:trPr>
        <w:tc>
          <w:tcPr>
            <w:tcW w:w="6379" w:type="dxa"/>
            <w:shd w:val="clear" w:color="auto" w:fill="F2F2F2" w:themeFill="background1" w:themeFillShade="F2"/>
            <w:vAlign w:val="center"/>
          </w:tcPr>
          <w:p w:rsidR="00810600" w:rsidRDefault="00810600" w:rsidP="00484359">
            <w:pPr>
              <w:jc w:val="left"/>
              <w:rPr>
                <w:rFonts w:asciiTheme="minorHAnsi" w:hAnsiTheme="minorHAnsi"/>
                <w:b/>
                <w:sz w:val="20"/>
              </w:rPr>
            </w:pPr>
          </w:p>
        </w:tc>
        <w:tc>
          <w:tcPr>
            <w:tcW w:w="1701" w:type="dxa"/>
            <w:shd w:val="clear" w:color="auto" w:fill="F2F2F2" w:themeFill="background1" w:themeFillShade="F2"/>
            <w:vAlign w:val="center"/>
          </w:tcPr>
          <w:p w:rsidR="00810600"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810600" w:rsidRDefault="00484359" w:rsidP="00484359">
            <w:pPr>
              <w:jc w:val="left"/>
              <w:rPr>
                <w:rFonts w:asciiTheme="minorHAnsi" w:hAnsiTheme="minorHAnsi"/>
                <w:b/>
                <w:sz w:val="20"/>
              </w:rPr>
            </w:pPr>
            <w:r>
              <w:rPr>
                <w:rFonts w:asciiTheme="minorHAnsi" w:hAnsiTheme="minorHAnsi"/>
                <w:b/>
                <w:sz w:val="20"/>
              </w:rPr>
              <w:t>Share of total [%]</w:t>
            </w:r>
          </w:p>
        </w:tc>
      </w:tr>
      <w:tr w:rsidR="00810600" w:rsidTr="00484359">
        <w:tc>
          <w:tcPr>
            <w:tcW w:w="6379" w:type="dxa"/>
          </w:tcPr>
          <w:p w:rsidR="00810600"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810600"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810600" w:rsidRDefault="006D2330" w:rsidP="00B14C10">
            <w:pPr>
              <w:jc w:val="right"/>
              <w:rPr>
                <w:rFonts w:asciiTheme="minorHAnsi" w:hAnsiTheme="minorHAnsi"/>
                <w:sz w:val="20"/>
              </w:rPr>
            </w:pPr>
            <w:r>
              <w:rPr>
                <w:rFonts w:asciiTheme="minorHAnsi" w:hAnsiTheme="minorHAnsi"/>
                <w:sz w:val="20"/>
              </w:rPr>
              <w:t>182</w:t>
            </w:r>
          </w:p>
        </w:tc>
        <w:tc>
          <w:tcPr>
            <w:tcW w:w="1701" w:type="dxa"/>
            <w:vAlign w:val="center"/>
          </w:tcPr>
          <w:p w:rsidR="00810600" w:rsidRDefault="004D61EC" w:rsidP="00B14C10">
            <w:pPr>
              <w:jc w:val="right"/>
              <w:rPr>
                <w:rFonts w:asciiTheme="minorHAnsi" w:hAnsiTheme="minorHAnsi"/>
                <w:b/>
                <w:sz w:val="20"/>
              </w:rPr>
            </w:pPr>
            <w:r>
              <w:rPr>
                <w:rFonts w:asciiTheme="minorHAnsi" w:hAnsiTheme="minorHAnsi"/>
                <w:sz w:val="20"/>
              </w:rPr>
              <w:t>88.8%</w:t>
            </w:r>
          </w:p>
        </w:tc>
      </w:tr>
      <w:tr w:rsidR="00810600" w:rsidTr="00484359">
        <w:tc>
          <w:tcPr>
            <w:tcW w:w="6379" w:type="dxa"/>
          </w:tcPr>
          <w:p w:rsidR="00810600"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810600"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810600" w:rsidRDefault="006710BD" w:rsidP="00B14C10">
            <w:pPr>
              <w:jc w:val="right"/>
              <w:rPr>
                <w:rFonts w:asciiTheme="minorHAnsi" w:hAnsiTheme="minorHAnsi"/>
                <w:b/>
                <w:sz w:val="20"/>
              </w:rPr>
            </w:pPr>
            <w:r>
              <w:rPr>
                <w:rFonts w:asciiTheme="minorHAnsi" w:hAnsiTheme="minorHAnsi"/>
                <w:sz w:val="20"/>
              </w:rPr>
              <w:lastRenderedPageBreak/>
              <w:t>1</w:t>
            </w:r>
          </w:p>
        </w:tc>
        <w:tc>
          <w:tcPr>
            <w:tcW w:w="1701" w:type="dxa"/>
            <w:vAlign w:val="center"/>
          </w:tcPr>
          <w:p w:rsidR="00810600" w:rsidRDefault="004D61EC" w:rsidP="00484359">
            <w:pPr>
              <w:jc w:val="right"/>
              <w:rPr>
                <w:rFonts w:asciiTheme="minorHAnsi" w:hAnsiTheme="minorHAnsi"/>
                <w:b/>
                <w:sz w:val="20"/>
              </w:rPr>
            </w:pPr>
            <w:r>
              <w:rPr>
                <w:rFonts w:asciiTheme="minorHAnsi" w:hAnsiTheme="minorHAnsi"/>
                <w:sz w:val="20"/>
              </w:rPr>
              <w:t>0.5%</w:t>
            </w:r>
          </w:p>
        </w:tc>
      </w:tr>
      <w:tr w:rsidR="00810600" w:rsidTr="00484359">
        <w:tc>
          <w:tcPr>
            <w:tcW w:w="6379" w:type="dxa"/>
          </w:tcPr>
          <w:p w:rsidR="00810600"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810600"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810600" w:rsidRDefault="006710BD" w:rsidP="00B14C10">
            <w:pPr>
              <w:jc w:val="right"/>
              <w:rPr>
                <w:rFonts w:asciiTheme="minorHAnsi" w:hAnsiTheme="minorHAnsi"/>
                <w:b/>
                <w:sz w:val="20"/>
              </w:rPr>
            </w:pPr>
            <w:r>
              <w:rPr>
                <w:rFonts w:asciiTheme="minorHAnsi" w:hAnsiTheme="minorHAnsi"/>
                <w:sz w:val="20"/>
              </w:rPr>
              <w:t>22</w:t>
            </w:r>
          </w:p>
        </w:tc>
        <w:tc>
          <w:tcPr>
            <w:tcW w:w="1701" w:type="dxa"/>
            <w:vAlign w:val="center"/>
          </w:tcPr>
          <w:p w:rsidR="00810600" w:rsidRDefault="004D61EC" w:rsidP="00B14C10">
            <w:pPr>
              <w:jc w:val="right"/>
              <w:rPr>
                <w:rFonts w:asciiTheme="minorHAnsi" w:hAnsiTheme="minorHAnsi"/>
                <w:b/>
                <w:sz w:val="20"/>
              </w:rPr>
            </w:pPr>
            <w:r>
              <w:rPr>
                <w:rFonts w:asciiTheme="minorHAnsi" w:hAnsiTheme="minorHAnsi"/>
                <w:sz w:val="20"/>
              </w:rPr>
              <w:t>10.7%</w:t>
            </w:r>
          </w:p>
        </w:tc>
      </w:tr>
      <w:tr w:rsidR="00810600" w:rsidTr="00484359">
        <w:trPr>
          <w:trHeight w:val="323"/>
        </w:trPr>
        <w:tc>
          <w:tcPr>
            <w:tcW w:w="6379" w:type="dxa"/>
            <w:shd w:val="clear" w:color="auto" w:fill="F2F2F2" w:themeFill="background1" w:themeFillShade="F2"/>
            <w:vAlign w:val="center"/>
          </w:tcPr>
          <w:p w:rsidR="00810600"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810600" w:rsidRDefault="00993FEC" w:rsidP="00484359">
            <w:pPr>
              <w:jc w:val="right"/>
              <w:rPr>
                <w:rFonts w:asciiTheme="minorHAnsi" w:hAnsiTheme="minorHAnsi"/>
                <w:b/>
                <w:sz w:val="20"/>
              </w:rPr>
            </w:pPr>
            <w:r>
              <w:rPr>
                <w:rFonts w:asciiTheme="minorHAnsi" w:hAnsiTheme="minorHAnsi"/>
                <w:b/>
                <w:sz w:val="20"/>
              </w:rPr>
              <w:t>205</w:t>
            </w:r>
          </w:p>
        </w:tc>
        <w:tc>
          <w:tcPr>
            <w:tcW w:w="1701" w:type="dxa"/>
            <w:shd w:val="clear" w:color="auto" w:fill="F2F2F2" w:themeFill="background1" w:themeFillShade="F2"/>
            <w:vAlign w:val="center"/>
          </w:tcPr>
          <w:p w:rsidR="00810600" w:rsidRDefault="004943BD" w:rsidP="004943BD">
            <w:pPr>
              <w:jc w:val="right"/>
              <w:rPr>
                <w:rFonts w:asciiTheme="minorHAnsi" w:hAnsiTheme="minorHAnsi"/>
                <w:b/>
                <w:sz w:val="20"/>
              </w:rPr>
            </w:pPr>
            <w:r>
              <w:rPr>
                <w:rFonts w:asciiTheme="minorHAnsi" w:hAnsiTheme="minorHAnsi"/>
                <w:b/>
                <w:sz w:val="20"/>
              </w:rPr>
              <w:t>100%</w:t>
            </w:r>
          </w:p>
        </w:tc>
      </w:tr>
    </w:tbl>
    <w:p w:rsidR="00810600" w:rsidRDefault="00810600" w:rsidP="00ED3BDC"/>
    <w:p w:rsidR="00810600"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810600" w:rsidRDefault="00810600" w:rsidP="00ED3BDC"/>
    <w:p w:rsidR="00810600"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810600" w:rsidRDefault="00810600" w:rsidP="00ED3BDC"/>
    <w:p w:rsidR="00810600" w:rsidRDefault="002F24A6" w:rsidP="002F24A6">
      <w:r>
        <w:t>Quality assessment is not possible for all bathing waters. In these cases, they are instead classified as either:</w:t>
      </w:r>
    </w:p>
    <w:p w:rsidR="00810600" w:rsidRDefault="002F24A6" w:rsidP="002F24A6">
      <w:pPr>
        <w:ind w:firstLine="284"/>
      </w:pPr>
      <w:r>
        <w:t>• not enough samples</w:t>
      </w:r>
      <w:r>
        <w:rPr>
          <w:rStyle w:val="FootnoteReference"/>
        </w:rPr>
        <w:footnoteReference w:id="8"/>
      </w:r>
      <w:r>
        <w:t>;</w:t>
      </w:r>
    </w:p>
    <w:p w:rsidR="00810600" w:rsidRDefault="002F24A6" w:rsidP="002F24A6">
      <w:pPr>
        <w:ind w:firstLine="284"/>
      </w:pPr>
      <w:r>
        <w:t>• new</w:t>
      </w:r>
      <w:r>
        <w:rPr>
          <w:rStyle w:val="FootnoteReference"/>
        </w:rPr>
        <w:footnoteReference w:id="9"/>
      </w:r>
      <w:r>
        <w:t>;</w:t>
      </w:r>
    </w:p>
    <w:p w:rsidR="00810600" w:rsidRDefault="00783E42" w:rsidP="00783E42">
      <w:pPr>
        <w:ind w:firstLine="284"/>
      </w:pPr>
      <w:r>
        <w:t>• changes</w:t>
      </w:r>
      <w:r>
        <w:rPr>
          <w:rStyle w:val="FootnoteReference"/>
        </w:rPr>
        <w:footnoteReference w:id="10"/>
      </w:r>
      <w:r>
        <w:t>;</w:t>
      </w:r>
    </w:p>
    <w:p w:rsidR="00810600" w:rsidRDefault="00783E42" w:rsidP="00783E42">
      <w:pPr>
        <w:ind w:firstLine="284"/>
      </w:pPr>
      <w:r>
        <w:t>• closed</w:t>
      </w:r>
      <w:r>
        <w:rPr>
          <w:rStyle w:val="FootnoteReference"/>
        </w:rPr>
        <w:footnoteReference w:id="11"/>
      </w:r>
      <w:r>
        <w:t>.</w:t>
      </w:r>
    </w:p>
    <w:p w:rsidR="00810600" w:rsidRDefault="00810600" w:rsidP="00AF3F74"/>
    <w:p w:rsidR="00810600" w:rsidRDefault="00810600" w:rsidP="00ED3BDC"/>
    <w:p w:rsidR="00810600" w:rsidRDefault="002B438D" w:rsidP="00ED3BDC">
      <w:pPr>
        <w:pStyle w:val="Heading1"/>
      </w:pPr>
      <w:r>
        <w:t>Bathing water quality</w:t>
      </w:r>
    </w:p>
    <w:p w:rsidR="00810600" w:rsidRDefault="00810600" w:rsidP="00ED3BDC"/>
    <w:p w:rsidR="00810600" w:rsidRDefault="002B438D" w:rsidP="00ED3BDC">
      <w:r>
        <w:t>The results of the bathing water quality in Poland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810600" w:rsidRDefault="00810600" w:rsidP="00ED3BDC"/>
    <w:p w:rsidR="0044134B" w:rsidRDefault="0044134B" w:rsidP="00ED3BDC"/>
    <w:p w:rsidR="0044134B" w:rsidRDefault="0044134B" w:rsidP="00ED3BDC"/>
    <w:p w:rsidR="0044134B" w:rsidRDefault="0044134B" w:rsidP="00ED3BDC"/>
    <w:p w:rsidR="0044134B" w:rsidRDefault="0044134B" w:rsidP="00ED3BDC"/>
    <w:p w:rsidR="00810600" w:rsidRDefault="002B438D" w:rsidP="00ED3BDC">
      <w:pPr>
        <w:pStyle w:val="Heading2"/>
      </w:pPr>
      <w:r>
        <w:lastRenderedPageBreak/>
        <w:t>Coastal bathing waters</w:t>
      </w:r>
    </w:p>
    <w:p w:rsidR="00810600" w:rsidRDefault="00810600" w:rsidP="00ED3BDC"/>
    <w:p w:rsidR="00810600" w:rsidRDefault="002B438D" w:rsidP="00ED3BDC">
      <w:r>
        <w:t>In Poland, 78.4% of all existing coastal bathing waters met at least sufficient water quality standards in 2017. S</w:t>
      </w:r>
      <w:r w:rsidR="0044134B">
        <w:t>ee Appendix 1 for numeric data.</w:t>
      </w:r>
    </w:p>
    <w:p w:rsidR="00810600" w:rsidRDefault="00810600" w:rsidP="00ED3BDC"/>
    <w:p w:rsidR="00810600"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0600"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Poland. </w:t>
      </w:r>
      <w:r>
        <w:rPr>
          <w:b w:val="0"/>
        </w:rPr>
        <w:t>Note: the “At least sufficient” class also includes bathing waters of “Excellent” quality class, the sum of shares is therefore not 100%.</w:t>
      </w:r>
      <w:r>
        <w:t xml:space="preserve"> </w:t>
      </w:r>
    </w:p>
    <w:p w:rsidR="00810600" w:rsidRDefault="00810600" w:rsidP="00ED3BDC"/>
    <w:p w:rsidR="00810600" w:rsidRDefault="00810600" w:rsidP="00ED3BDC"/>
    <w:p w:rsidR="00810600" w:rsidRDefault="002B438D" w:rsidP="00ED3BDC">
      <w:pPr>
        <w:pStyle w:val="Heading2"/>
      </w:pPr>
      <w:r>
        <w:t>Inland bathing waters</w:t>
      </w:r>
    </w:p>
    <w:p w:rsidR="00810600" w:rsidRDefault="00810600" w:rsidP="00ED3BDC"/>
    <w:p w:rsidR="00810600" w:rsidRDefault="007C239B" w:rsidP="002318DD">
      <w:r>
        <w:t>93.5% of all existing inland bathing waters were of at least sufficient water quality in 2017. See Appendix 1 for numeric data.</w:t>
      </w:r>
      <w:bookmarkStart w:id="1" w:name="OLE_LINK19"/>
      <w:bookmarkStart w:id="2" w:name="OLE_LINK20"/>
    </w:p>
    <w:p w:rsidR="00810600" w:rsidRDefault="00810600" w:rsidP="002318DD"/>
    <w:p w:rsidR="00810600"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810600"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Poland. </w:t>
      </w:r>
      <w:r>
        <w:rPr>
          <w:b w:val="0"/>
        </w:rPr>
        <w:t>Note: the “At least sufficient” class also includes bathing waters of “Excellent” quality class, the sum of shares is therefore not 100%.</w:t>
      </w:r>
      <w:r>
        <w:t xml:space="preserve"> </w:t>
      </w:r>
    </w:p>
    <w:p w:rsidR="00810600" w:rsidRDefault="00810600" w:rsidP="00ED3BDC">
      <w:pPr>
        <w:pStyle w:val="Caption"/>
      </w:pPr>
    </w:p>
    <w:p w:rsidR="00810600" w:rsidRDefault="00810600" w:rsidP="00ED3BDC"/>
    <w:p w:rsidR="00810600" w:rsidRDefault="00810600" w:rsidP="00ED3BDC"/>
    <w:p w:rsidR="00810600"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810600" w:rsidRDefault="00810600" w:rsidP="00ED3BDC"/>
    <w:p w:rsidR="0044134B" w:rsidRDefault="0044134B" w:rsidP="0044134B">
      <w:r>
        <w:t xml:space="preserve">The list of bathing waters, the results of the quality classes as well as up-to-date data on the water quality in the bathing season 2017 can be found on the Chief Sanitary Inspectorate website: </w:t>
      </w:r>
      <w:hyperlink r:id="rId12" w:history="1">
        <w:r w:rsidRPr="003F4ABB">
          <w:rPr>
            <w:rStyle w:val="Hyperlink"/>
          </w:rPr>
          <w:t>https://sk.gis.gov.pl/index.php/strona/content/7</w:t>
        </w:r>
      </w:hyperlink>
      <w:r>
        <w:t>.</w:t>
      </w:r>
    </w:p>
    <w:p w:rsidR="0044134B" w:rsidRDefault="0044134B" w:rsidP="0044134B"/>
    <w:p w:rsidR="0044134B" w:rsidRDefault="0044134B" w:rsidP="0044134B">
      <w:r>
        <w:t>The quality of bathing water during the bathing season in Poland is regularly monitored and supervised by the bathing water administrator and by the state sanitary inspection.</w:t>
      </w:r>
    </w:p>
    <w:p w:rsidR="0044134B" w:rsidRDefault="0044134B" w:rsidP="0044134B"/>
    <w:p w:rsidR="0044134B" w:rsidRDefault="0044134B" w:rsidP="0044134B">
      <w:r>
        <w:t>Monitoring results on bathing water quality are made public through the national bathing service, media (primarily the local press, and occasionally local radio stations and TV) and are also published online on the competent state sanitary inspection website. Additionally boards with bathing water quality information and flags are placed at bathing waters; there is also lifeguard supervision. In case of bathing prohibition, information concerning water quality with special symbol is put on a bathing water board.</w:t>
      </w:r>
    </w:p>
    <w:p w:rsidR="0044134B" w:rsidRDefault="0044134B" w:rsidP="0044134B"/>
    <w:p w:rsidR="00810600" w:rsidRDefault="0044134B" w:rsidP="0044134B">
      <w:r>
        <w:t>Monitoring calendars for all bathing waters were prepared before the bathing season. Bathing water profiles were created in time. Sampling was carried out according to the bathing water monitoring calendar at least once per month and not less than 5 samples per bathing water. In some cases there was also an increase in the frequency of monitoring, where any exceeding of the national limit for parameters Escherichia coli or Intestinal enterococci occurred. Timely and adequate management measures were taken in the event of contamination to ensure the safety of bathers. Water quality problems are the most frequently related to mass proliferation of cyanobacteria due to the eutrophication of reservoirs and ponds and microbiology contamination due to wastewater discharges.</w:t>
      </w:r>
    </w:p>
    <w:p w:rsidR="0044134B" w:rsidRDefault="0044134B" w:rsidP="0044134B"/>
    <w:p w:rsidR="00810600" w:rsidRDefault="00810600" w:rsidP="00ED3BDC"/>
    <w:p w:rsidR="00810600" w:rsidRDefault="0024729D" w:rsidP="00ED3BDC">
      <w:pPr>
        <w:pStyle w:val="Heading1"/>
      </w:pPr>
      <w:r>
        <w:t>Bathing water quality assessment presentation in online viewers</w:t>
      </w:r>
    </w:p>
    <w:p w:rsidR="00810600" w:rsidRDefault="00810600" w:rsidP="00ED3BDC"/>
    <w:p w:rsidR="00810600"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810600" w:rsidRDefault="00810600" w:rsidP="00EC573D"/>
    <w:p w:rsidR="00810600"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810600" w:rsidRDefault="002B438D" w:rsidP="003E2BA0">
      <w:r>
        <w:br w:type="page"/>
      </w:r>
    </w:p>
    <w:p w:rsidR="00810600" w:rsidRDefault="002B438D" w:rsidP="00ED3BDC">
      <w:pPr>
        <w:rPr>
          <w:b/>
          <w:sz w:val="28"/>
        </w:rPr>
      </w:pPr>
      <w:r>
        <w:rPr>
          <w:b/>
          <w:sz w:val="28"/>
        </w:rPr>
        <w:lastRenderedPageBreak/>
        <w:t>Appendix 1: Results of bathing water quality in Poland from 2014 to 2017</w:t>
      </w:r>
    </w:p>
    <w:p w:rsidR="00810600" w:rsidRDefault="00810600" w:rsidP="00ED3BDC"/>
    <w:p w:rsidR="00810600"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810600" w:rsidTr="005F5E3F">
        <w:tc>
          <w:tcPr>
            <w:tcW w:w="1276" w:type="dxa"/>
            <w:gridSpan w:val="2"/>
            <w:vMerge w:val="restart"/>
            <w:shd w:val="clear" w:color="auto" w:fill="F2F2F2" w:themeFill="background1" w:themeFillShade="F2"/>
          </w:tcPr>
          <w:p w:rsidR="00810600" w:rsidRDefault="00810600"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810600" w:rsidRDefault="005F5E3F" w:rsidP="00B853E1">
            <w:pPr>
              <w:jc w:val="center"/>
              <w:rPr>
                <w:rFonts w:asciiTheme="minorHAnsi" w:hAnsiTheme="minorHAnsi"/>
                <w:b/>
                <w:sz w:val="20"/>
                <w:szCs w:val="20"/>
              </w:rPr>
            </w:pPr>
            <w:r>
              <w:rPr>
                <w:rFonts w:asciiTheme="minorHAnsi" w:hAnsiTheme="minorHAnsi"/>
                <w:b/>
                <w:sz w:val="20"/>
                <w:szCs w:val="20"/>
              </w:rPr>
              <w:t>Total</w:t>
            </w:r>
          </w:p>
          <w:p w:rsidR="00810600" w:rsidRDefault="005F5E3F" w:rsidP="00B853E1">
            <w:pPr>
              <w:jc w:val="center"/>
              <w:rPr>
                <w:rFonts w:asciiTheme="minorHAnsi" w:hAnsiTheme="minorHAnsi"/>
                <w:b/>
                <w:sz w:val="20"/>
                <w:szCs w:val="20"/>
              </w:rPr>
            </w:pPr>
            <w:r>
              <w:rPr>
                <w:rFonts w:asciiTheme="minorHAnsi" w:hAnsiTheme="minorHAnsi"/>
                <w:b/>
                <w:sz w:val="20"/>
                <w:szCs w:val="20"/>
              </w:rPr>
              <w:t>number</w:t>
            </w:r>
          </w:p>
          <w:p w:rsidR="00810600" w:rsidRDefault="005F5E3F" w:rsidP="00B853E1">
            <w:pPr>
              <w:jc w:val="center"/>
              <w:rPr>
                <w:rFonts w:asciiTheme="minorHAnsi" w:hAnsiTheme="minorHAnsi"/>
                <w:b/>
                <w:sz w:val="20"/>
                <w:szCs w:val="20"/>
              </w:rPr>
            </w:pPr>
            <w:r>
              <w:rPr>
                <w:rFonts w:asciiTheme="minorHAnsi" w:hAnsiTheme="minorHAnsi"/>
                <w:b/>
                <w:sz w:val="20"/>
                <w:szCs w:val="20"/>
              </w:rPr>
              <w:t>of</w:t>
            </w:r>
          </w:p>
          <w:p w:rsidR="00810600" w:rsidRDefault="005F5E3F" w:rsidP="00B853E1">
            <w:pPr>
              <w:jc w:val="center"/>
              <w:rPr>
                <w:rFonts w:asciiTheme="minorHAnsi" w:hAnsiTheme="minorHAnsi"/>
                <w:b/>
                <w:sz w:val="20"/>
                <w:szCs w:val="20"/>
              </w:rPr>
            </w:pPr>
            <w:r>
              <w:rPr>
                <w:rFonts w:asciiTheme="minorHAnsi" w:hAnsiTheme="minorHAnsi"/>
                <w:b/>
                <w:sz w:val="20"/>
                <w:szCs w:val="20"/>
              </w:rPr>
              <w:t>bathing</w:t>
            </w:r>
          </w:p>
          <w:p w:rsidR="00810600"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810600"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810600" w:rsidRDefault="005F5E3F" w:rsidP="00B853E1">
            <w:pPr>
              <w:jc w:val="center"/>
              <w:rPr>
                <w:rFonts w:asciiTheme="minorHAnsi" w:hAnsiTheme="minorHAnsi"/>
                <w:b/>
                <w:sz w:val="20"/>
                <w:szCs w:val="20"/>
              </w:rPr>
            </w:pPr>
            <w:r>
              <w:rPr>
                <w:rFonts w:asciiTheme="minorHAnsi" w:hAnsiTheme="minorHAnsi"/>
                <w:b/>
                <w:sz w:val="20"/>
                <w:szCs w:val="20"/>
              </w:rPr>
              <w:t>At least</w:t>
            </w:r>
          </w:p>
          <w:p w:rsidR="00810600" w:rsidRDefault="005F5E3F" w:rsidP="00B853E1">
            <w:pPr>
              <w:jc w:val="center"/>
              <w:rPr>
                <w:rFonts w:asciiTheme="minorHAnsi" w:hAnsiTheme="minorHAnsi"/>
                <w:b/>
                <w:sz w:val="20"/>
                <w:szCs w:val="20"/>
              </w:rPr>
            </w:pPr>
            <w:r>
              <w:rPr>
                <w:rFonts w:asciiTheme="minorHAnsi" w:hAnsiTheme="minorHAnsi"/>
                <w:b/>
                <w:sz w:val="20"/>
                <w:szCs w:val="20"/>
              </w:rPr>
              <w:t>sufficient</w:t>
            </w:r>
          </w:p>
          <w:p w:rsidR="00810600"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810600"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810600" w:rsidRDefault="005F5E3F" w:rsidP="00B853E1">
            <w:pPr>
              <w:jc w:val="center"/>
              <w:rPr>
                <w:rFonts w:asciiTheme="minorHAnsi" w:hAnsiTheme="minorHAnsi"/>
                <w:b/>
                <w:sz w:val="20"/>
                <w:szCs w:val="20"/>
              </w:rPr>
            </w:pPr>
            <w:r>
              <w:rPr>
                <w:rFonts w:asciiTheme="minorHAnsi" w:hAnsiTheme="minorHAnsi"/>
                <w:b/>
                <w:sz w:val="20"/>
                <w:szCs w:val="20"/>
              </w:rPr>
              <w:t>Quality</w:t>
            </w:r>
          </w:p>
          <w:p w:rsidR="00810600"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810600"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810600"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810600" w:rsidRDefault="005F5E3F" w:rsidP="00B853E1">
            <w:pPr>
              <w:jc w:val="center"/>
              <w:rPr>
                <w:rFonts w:asciiTheme="minorHAnsi" w:hAnsiTheme="minorHAnsi"/>
                <w:b/>
                <w:sz w:val="20"/>
                <w:szCs w:val="20"/>
              </w:rPr>
            </w:pPr>
            <w:r>
              <w:rPr>
                <w:rFonts w:asciiTheme="minorHAnsi" w:hAnsiTheme="minorHAnsi"/>
                <w:b/>
                <w:sz w:val="20"/>
                <w:szCs w:val="20"/>
              </w:rPr>
              <w:t>/new bathing</w:t>
            </w:r>
          </w:p>
          <w:p w:rsidR="00810600" w:rsidRDefault="005F5E3F" w:rsidP="00B853E1">
            <w:pPr>
              <w:jc w:val="center"/>
              <w:rPr>
                <w:rFonts w:asciiTheme="minorHAnsi" w:hAnsiTheme="minorHAnsi"/>
                <w:b/>
                <w:sz w:val="20"/>
                <w:szCs w:val="20"/>
              </w:rPr>
            </w:pPr>
            <w:r>
              <w:rPr>
                <w:rFonts w:asciiTheme="minorHAnsi" w:hAnsiTheme="minorHAnsi"/>
                <w:b/>
                <w:sz w:val="20"/>
                <w:szCs w:val="20"/>
              </w:rPr>
              <w:t>waters/bathing</w:t>
            </w:r>
          </w:p>
          <w:p w:rsidR="00810600"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810600" w:rsidTr="005F5E3F">
        <w:tc>
          <w:tcPr>
            <w:tcW w:w="1276" w:type="dxa"/>
            <w:gridSpan w:val="2"/>
            <w:vMerge/>
            <w:tcBorders>
              <w:bottom w:val="single" w:sz="4" w:space="0" w:color="808080" w:themeColor="background1" w:themeShade="80"/>
            </w:tcBorders>
            <w:shd w:val="clear" w:color="auto" w:fill="F2F2F2" w:themeFill="background1" w:themeFillShade="F2"/>
          </w:tcPr>
          <w:p w:rsidR="00810600" w:rsidRDefault="00810600"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810600" w:rsidRDefault="00810600"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81060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81060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81060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81060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81060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810600"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81060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810600" w:rsidRDefault="005F5E3F" w:rsidP="00430B97">
            <w:pPr>
              <w:jc w:val="center"/>
              <w:rPr>
                <w:rFonts w:asciiTheme="minorHAnsi" w:hAnsiTheme="minorHAnsi"/>
                <w:b/>
                <w:sz w:val="20"/>
                <w:szCs w:val="20"/>
              </w:rPr>
            </w:pPr>
            <w:r>
              <w:rPr>
                <w:rFonts w:asciiTheme="minorHAnsi" w:hAnsiTheme="minorHAnsi"/>
                <w:b/>
                <w:sz w:val="20"/>
                <w:szCs w:val="20"/>
              </w:rPr>
              <w:t>%</w:t>
            </w:r>
          </w:p>
        </w:tc>
      </w:tr>
      <w:tr w:rsidR="0081060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44134B">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85</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51</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60.0</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76</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89.4</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1.2</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9.4</w:t>
            </w:r>
          </w:p>
        </w:tc>
      </w:tr>
      <w:tr w:rsidR="0081060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5C19AE">
            <w:pPr>
              <w:jc w:val="center"/>
              <w:rPr>
                <w:rFonts w:asciiTheme="minorHAnsi" w:hAnsiTheme="minorHAnsi"/>
                <w:sz w:val="20"/>
                <w:szCs w:val="20"/>
              </w:rPr>
            </w:pPr>
            <w:r>
              <w:rPr>
                <w:rFonts w:asciiTheme="minorHAnsi" w:hAnsiTheme="minorHAnsi"/>
                <w:sz w:val="20"/>
                <w:szCs w:val="20"/>
              </w:rPr>
              <w:t>Coastal</w:t>
            </w:r>
          </w:p>
          <w:p w:rsidR="00810600" w:rsidRDefault="0081060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83</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46</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55.4</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79</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95.2</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1.2</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3.6</w:t>
            </w:r>
          </w:p>
        </w:tc>
      </w:tr>
      <w:tr w:rsidR="0081060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5C19AE">
            <w:pPr>
              <w:jc w:val="center"/>
              <w:rPr>
                <w:rFonts w:asciiTheme="minorHAnsi" w:hAnsiTheme="minorHAnsi"/>
                <w:sz w:val="20"/>
                <w:szCs w:val="20"/>
              </w:rPr>
            </w:pPr>
            <w:r>
              <w:rPr>
                <w:rFonts w:asciiTheme="minorHAnsi" w:hAnsiTheme="minorHAnsi"/>
                <w:sz w:val="20"/>
                <w:szCs w:val="20"/>
              </w:rPr>
              <w:t>Coastal</w:t>
            </w:r>
          </w:p>
          <w:p w:rsidR="00810600" w:rsidRDefault="0081060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89</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50</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56.2</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77</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86.5</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1.1</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11</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12.4</w:t>
            </w:r>
          </w:p>
        </w:tc>
      </w:tr>
      <w:tr w:rsidR="0081060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5C19AE">
            <w:pPr>
              <w:jc w:val="center"/>
              <w:rPr>
                <w:rFonts w:asciiTheme="minorHAnsi" w:hAnsiTheme="minorHAnsi"/>
                <w:sz w:val="20"/>
                <w:szCs w:val="20"/>
              </w:rPr>
            </w:pPr>
            <w:r>
              <w:rPr>
                <w:rFonts w:asciiTheme="minorHAnsi" w:hAnsiTheme="minorHAnsi"/>
                <w:sz w:val="20"/>
                <w:szCs w:val="20"/>
              </w:rPr>
              <w:t>Coastal</w:t>
            </w:r>
          </w:p>
          <w:p w:rsidR="00810600" w:rsidRDefault="0081060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97</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47</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48.5</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76</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78.4</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2.1</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19</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19.6</w:t>
            </w:r>
          </w:p>
        </w:tc>
      </w:tr>
      <w:tr w:rsidR="0081060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44134B">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116</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61</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52.6</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87</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75.0</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0.9</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28</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24.1</w:t>
            </w:r>
          </w:p>
        </w:tc>
      </w:tr>
      <w:tr w:rsidR="0081060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10600" w:rsidRDefault="0081060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114</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74</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64.9</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100</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87.7</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0.9</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13</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11.4</w:t>
            </w:r>
          </w:p>
        </w:tc>
      </w:tr>
      <w:tr w:rsidR="0081060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10600" w:rsidRDefault="0081060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112</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83</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74.1</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104</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92.9</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7.1</w:t>
            </w:r>
          </w:p>
        </w:tc>
      </w:tr>
      <w:tr w:rsidR="0081060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1060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10600" w:rsidRDefault="0081060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108</w:t>
            </w:r>
          </w:p>
        </w:tc>
        <w:tc>
          <w:tcPr>
            <w:tcW w:w="939"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90</w:t>
            </w:r>
          </w:p>
        </w:tc>
        <w:tc>
          <w:tcPr>
            <w:tcW w:w="904"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83.3</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101</w:t>
            </w:r>
          </w:p>
        </w:tc>
        <w:tc>
          <w:tcPr>
            <w:tcW w:w="99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93.5</w:t>
            </w:r>
          </w:p>
        </w:tc>
        <w:tc>
          <w:tcPr>
            <w:tcW w:w="992"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2.8</w:t>
            </w:r>
          </w:p>
        </w:tc>
        <w:tc>
          <w:tcPr>
            <w:tcW w:w="903"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4</w:t>
            </w:r>
          </w:p>
        </w:tc>
        <w:tc>
          <w:tcPr>
            <w:tcW w:w="940" w:type="dxa"/>
            <w:tcBorders>
              <w:top w:val="single" w:sz="4" w:space="0" w:color="808080" w:themeColor="background1" w:themeShade="80"/>
              <w:bottom w:val="single" w:sz="4" w:space="0" w:color="808080" w:themeColor="background1" w:themeShade="80"/>
            </w:tcBorders>
            <w:vAlign w:val="center"/>
          </w:tcPr>
          <w:p w:rsidR="00810600" w:rsidRDefault="005F5E3F" w:rsidP="002E7263">
            <w:pPr>
              <w:jc w:val="right"/>
              <w:rPr>
                <w:rFonts w:asciiTheme="minorHAnsi" w:hAnsiTheme="minorHAnsi"/>
                <w:sz w:val="20"/>
                <w:szCs w:val="20"/>
              </w:rPr>
            </w:pPr>
            <w:r>
              <w:rPr>
                <w:rFonts w:asciiTheme="minorHAnsi" w:hAnsiTheme="minorHAnsi"/>
                <w:sz w:val="20"/>
                <w:szCs w:val="20"/>
              </w:rPr>
              <w:t>3.7</w:t>
            </w:r>
          </w:p>
        </w:tc>
      </w:tr>
      <w:tr w:rsidR="00810600" w:rsidTr="005F5E3F">
        <w:trPr>
          <w:cantSplit/>
          <w:trHeight w:val="425"/>
        </w:trPr>
        <w:tc>
          <w:tcPr>
            <w:tcW w:w="426" w:type="dxa"/>
            <w:vMerge w:val="restart"/>
            <w:tcBorders>
              <w:top w:val="single" w:sz="4" w:space="0" w:color="808080" w:themeColor="background1" w:themeShade="80"/>
            </w:tcBorders>
            <w:textDirection w:val="btLr"/>
            <w:vAlign w:val="center"/>
          </w:tcPr>
          <w:p w:rsidR="00810600" w:rsidRDefault="005F5E3F" w:rsidP="0044134B">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201</w:t>
            </w:r>
          </w:p>
        </w:tc>
        <w:tc>
          <w:tcPr>
            <w:tcW w:w="939"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112</w:t>
            </w:r>
          </w:p>
        </w:tc>
        <w:tc>
          <w:tcPr>
            <w:tcW w:w="904"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55.7</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163</w:t>
            </w:r>
          </w:p>
        </w:tc>
        <w:tc>
          <w:tcPr>
            <w:tcW w:w="99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81.1</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w:t>
            </w: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1.0</w:t>
            </w:r>
          </w:p>
        </w:tc>
        <w:tc>
          <w:tcPr>
            <w:tcW w:w="90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36</w:t>
            </w:r>
          </w:p>
        </w:tc>
        <w:tc>
          <w:tcPr>
            <w:tcW w:w="94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17.9</w:t>
            </w:r>
          </w:p>
        </w:tc>
      </w:tr>
      <w:tr w:rsidR="00810600" w:rsidTr="005F5E3F">
        <w:trPr>
          <w:cantSplit/>
          <w:trHeight w:val="425"/>
        </w:trPr>
        <w:tc>
          <w:tcPr>
            <w:tcW w:w="426" w:type="dxa"/>
            <w:vMerge/>
            <w:tcBorders>
              <w:top w:val="single" w:sz="4" w:space="0" w:color="808080" w:themeColor="background1" w:themeShade="80"/>
            </w:tcBorders>
            <w:textDirection w:val="btLr"/>
            <w:vAlign w:val="center"/>
          </w:tcPr>
          <w:p w:rsidR="0081060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10600" w:rsidRDefault="0081060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197</w:t>
            </w:r>
          </w:p>
        </w:tc>
        <w:tc>
          <w:tcPr>
            <w:tcW w:w="939"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120</w:t>
            </w:r>
          </w:p>
        </w:tc>
        <w:tc>
          <w:tcPr>
            <w:tcW w:w="904"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60.9</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179</w:t>
            </w:r>
          </w:p>
        </w:tc>
        <w:tc>
          <w:tcPr>
            <w:tcW w:w="99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90.9</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w:t>
            </w: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1.0</w:t>
            </w:r>
          </w:p>
        </w:tc>
        <w:tc>
          <w:tcPr>
            <w:tcW w:w="90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16</w:t>
            </w:r>
          </w:p>
        </w:tc>
        <w:tc>
          <w:tcPr>
            <w:tcW w:w="94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8.1</w:t>
            </w:r>
          </w:p>
        </w:tc>
      </w:tr>
      <w:tr w:rsidR="00810600" w:rsidTr="005F5E3F">
        <w:trPr>
          <w:cantSplit/>
          <w:trHeight w:val="425"/>
        </w:trPr>
        <w:tc>
          <w:tcPr>
            <w:tcW w:w="426" w:type="dxa"/>
            <w:vMerge/>
            <w:tcBorders>
              <w:top w:val="single" w:sz="4" w:space="0" w:color="808080" w:themeColor="background1" w:themeShade="80"/>
            </w:tcBorders>
            <w:textDirection w:val="btLr"/>
            <w:vAlign w:val="center"/>
          </w:tcPr>
          <w:p w:rsidR="0081060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10600" w:rsidRDefault="0081060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201</w:t>
            </w:r>
          </w:p>
        </w:tc>
        <w:tc>
          <w:tcPr>
            <w:tcW w:w="939"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133</w:t>
            </w:r>
          </w:p>
        </w:tc>
        <w:tc>
          <w:tcPr>
            <w:tcW w:w="904"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66.2</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181</w:t>
            </w:r>
          </w:p>
        </w:tc>
        <w:tc>
          <w:tcPr>
            <w:tcW w:w="99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90.0</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0.5</w:t>
            </w:r>
          </w:p>
        </w:tc>
        <w:tc>
          <w:tcPr>
            <w:tcW w:w="90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19</w:t>
            </w:r>
          </w:p>
        </w:tc>
        <w:tc>
          <w:tcPr>
            <w:tcW w:w="94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9.5</w:t>
            </w:r>
          </w:p>
        </w:tc>
      </w:tr>
      <w:tr w:rsidR="00810600" w:rsidTr="005F5E3F">
        <w:trPr>
          <w:cantSplit/>
          <w:trHeight w:val="425"/>
        </w:trPr>
        <w:tc>
          <w:tcPr>
            <w:tcW w:w="426" w:type="dxa"/>
            <w:vMerge/>
            <w:tcBorders>
              <w:top w:val="single" w:sz="4" w:space="0" w:color="808080" w:themeColor="background1" w:themeShade="80"/>
            </w:tcBorders>
            <w:textDirection w:val="btLr"/>
            <w:vAlign w:val="center"/>
          </w:tcPr>
          <w:p w:rsidR="0081060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10600" w:rsidRDefault="0081060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205</w:t>
            </w:r>
          </w:p>
        </w:tc>
        <w:tc>
          <w:tcPr>
            <w:tcW w:w="939"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137</w:t>
            </w:r>
          </w:p>
        </w:tc>
        <w:tc>
          <w:tcPr>
            <w:tcW w:w="904"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66.8</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177</w:t>
            </w:r>
          </w:p>
        </w:tc>
        <w:tc>
          <w:tcPr>
            <w:tcW w:w="99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86.3</w:t>
            </w:r>
          </w:p>
        </w:tc>
        <w:tc>
          <w:tcPr>
            <w:tcW w:w="992"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5</w:t>
            </w:r>
          </w:p>
        </w:tc>
        <w:tc>
          <w:tcPr>
            <w:tcW w:w="85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2.4</w:t>
            </w:r>
          </w:p>
        </w:tc>
        <w:tc>
          <w:tcPr>
            <w:tcW w:w="903"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23</w:t>
            </w:r>
          </w:p>
        </w:tc>
        <w:tc>
          <w:tcPr>
            <w:tcW w:w="940" w:type="dxa"/>
            <w:tcBorders>
              <w:top w:val="single" w:sz="4" w:space="0" w:color="808080" w:themeColor="background1" w:themeShade="80"/>
            </w:tcBorders>
            <w:vAlign w:val="center"/>
          </w:tcPr>
          <w:p w:rsidR="00810600" w:rsidRDefault="005F5E3F" w:rsidP="002E7263">
            <w:pPr>
              <w:jc w:val="right"/>
              <w:rPr>
                <w:rFonts w:asciiTheme="minorHAnsi" w:hAnsiTheme="minorHAnsi"/>
                <w:b/>
                <w:sz w:val="20"/>
                <w:szCs w:val="20"/>
              </w:rPr>
            </w:pPr>
            <w:r>
              <w:rPr>
                <w:rFonts w:asciiTheme="minorHAnsi" w:hAnsiTheme="minorHAnsi"/>
                <w:b/>
                <w:sz w:val="20"/>
                <w:szCs w:val="20"/>
              </w:rPr>
              <w:t>11.2</w:t>
            </w:r>
          </w:p>
        </w:tc>
      </w:tr>
    </w:tbl>
    <w:p w:rsidR="00810600"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810600" w:rsidRDefault="002B438D" w:rsidP="00ED3BDC">
      <w:r>
        <w:br w:type="page"/>
      </w:r>
    </w:p>
    <w:p w:rsidR="00810600" w:rsidRDefault="002B438D" w:rsidP="00ED3BDC">
      <w:pPr>
        <w:rPr>
          <w:b/>
          <w:sz w:val="28"/>
        </w:rPr>
      </w:pPr>
      <w:r>
        <w:rPr>
          <w:b/>
          <w:sz w:val="28"/>
        </w:rPr>
        <w:lastRenderedPageBreak/>
        <w:t>Appendix 2: Bathing water quality map</w:t>
      </w:r>
    </w:p>
    <w:p w:rsidR="00810600" w:rsidRDefault="00810600" w:rsidP="00ED3BDC"/>
    <w:p w:rsidR="00810600" w:rsidRDefault="0044134B" w:rsidP="00ED3BDC">
      <w:r>
        <w:rPr>
          <w:noProof/>
          <w:lang w:eastAsia="en-GB"/>
        </w:rPr>
        <w:drawing>
          <wp:inline distT="0" distB="0" distL="0" distR="0">
            <wp:extent cx="6188710" cy="8008919"/>
            <wp:effectExtent l="0" t="0" r="2540" b="0"/>
            <wp:docPr id="4" name="Picture 4" descr="D:\Projekti\BWD\BWD 2017\National reports\GIS\map\NationalReports\PNG\20180420\PL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PL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810600"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E3A" w:rsidRDefault="008C5E3A" w:rsidP="00ED3BDC">
      <w:r>
        <w:separator/>
      </w:r>
    </w:p>
  </w:endnote>
  <w:endnote w:type="continuationSeparator" w:id="0">
    <w:p w:rsidR="008C5E3A" w:rsidRDefault="008C5E3A" w:rsidP="00ED3BDC">
      <w:r>
        <w:continuationSeparator/>
      </w:r>
    </w:p>
  </w:endnote>
  <w:endnote w:type="continuationNotice" w:id="1">
    <w:p w:rsidR="008C5E3A" w:rsidRDefault="008C5E3A"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00" w:rsidRDefault="00810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00" w:rsidRDefault="008106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00" w:rsidRDefault="00810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E3A" w:rsidRDefault="008C5E3A" w:rsidP="00ED3BDC">
      <w:r>
        <w:separator/>
      </w:r>
    </w:p>
  </w:footnote>
  <w:footnote w:type="continuationSeparator" w:id="0">
    <w:p w:rsidR="008C5E3A" w:rsidRDefault="008C5E3A" w:rsidP="00ED3BDC">
      <w:r>
        <w:continuationSeparator/>
      </w:r>
    </w:p>
  </w:footnote>
  <w:footnote w:type="continuationNotice" w:id="1">
    <w:p w:rsidR="008C5E3A" w:rsidRDefault="008C5E3A"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00" w:rsidRDefault="00810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00" w:rsidRDefault="008106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00"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134B"/>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060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C5E3A"/>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sk.gis.gov.pl/index.php/strona/content/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sk.gis.gov.pl/index.php/strona/content/7"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Feuil1!$B$2:$B$14</c:f>
              <c:numCache>
                <c:formatCode>General</c:formatCode>
                <c:ptCount val="13"/>
                <c:pt idx="0">
                  <c:v>0.18329999999999999</c:v>
                </c:pt>
                <c:pt idx="1">
                  <c:v>0.38569999999999999</c:v>
                </c:pt>
                <c:pt idx="2">
                  <c:v>0.33710000000000001</c:v>
                </c:pt>
                <c:pt idx="3">
                  <c:v>0.57299999999999995</c:v>
                </c:pt>
                <c:pt idx="4">
                  <c:v>0.37080000000000002</c:v>
                </c:pt>
                <c:pt idx="5">
                  <c:v>0.15909999999999999</c:v>
                </c:pt>
                <c:pt idx="6">
                  <c:v>0.80900000000000005</c:v>
                </c:pt>
                <c:pt idx="7">
                  <c:v>0.73860000000000003</c:v>
                </c:pt>
                <c:pt idx="8">
                  <c:v>0.75900000000000001</c:v>
                </c:pt>
                <c:pt idx="9">
                  <c:v>0.6</c:v>
                </c:pt>
                <c:pt idx="10">
                  <c:v>0.55420000000000003</c:v>
                </c:pt>
                <c:pt idx="11">
                  <c:v>0.56179999999999997</c:v>
                </c:pt>
                <c:pt idx="12">
                  <c:v>0.48449999999999999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Feuil1!$C$2:$C$14</c:f>
              <c:numCache>
                <c:formatCode>General</c:formatCode>
                <c:ptCount val="13"/>
                <c:pt idx="0">
                  <c:v>0.35</c:v>
                </c:pt>
                <c:pt idx="1">
                  <c:v>0.85709999999999997</c:v>
                </c:pt>
                <c:pt idx="2">
                  <c:v>0.80900000000000005</c:v>
                </c:pt>
                <c:pt idx="3">
                  <c:v>0.91010000000000002</c:v>
                </c:pt>
                <c:pt idx="4">
                  <c:v>0.87639999999999996</c:v>
                </c:pt>
                <c:pt idx="5">
                  <c:v>0.75</c:v>
                </c:pt>
                <c:pt idx="6">
                  <c:v>1</c:v>
                </c:pt>
                <c:pt idx="7">
                  <c:v>0.98860000000000003</c:v>
                </c:pt>
                <c:pt idx="8">
                  <c:v>1</c:v>
                </c:pt>
                <c:pt idx="9">
                  <c:v>0.89410000000000001</c:v>
                </c:pt>
                <c:pt idx="10">
                  <c:v>0.95179999999999998</c:v>
                </c:pt>
                <c:pt idx="11">
                  <c:v>0.86519999999999997</c:v>
                </c:pt>
                <c:pt idx="12">
                  <c:v>0.78349999999999997</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Feuil1!$D$2:$D$14</c:f>
              <c:numCache>
                <c:formatCode>General</c:formatCode>
                <c:ptCount val="13"/>
                <c:pt idx="0">
                  <c:v>0.1333</c:v>
                </c:pt>
                <c:pt idx="1">
                  <c:v>0.1429</c:v>
                </c:pt>
                <c:pt idx="2">
                  <c:v>0.191</c:v>
                </c:pt>
                <c:pt idx="3">
                  <c:v>8.9899999999999994E-2</c:v>
                </c:pt>
                <c:pt idx="4">
                  <c:v>0.1236</c:v>
                </c:pt>
                <c:pt idx="5">
                  <c:v>0.25</c:v>
                </c:pt>
                <c:pt idx="6">
                  <c:v>0</c:v>
                </c:pt>
                <c:pt idx="7">
                  <c:v>1.14E-2</c:v>
                </c:pt>
                <c:pt idx="8">
                  <c:v>0</c:v>
                </c:pt>
                <c:pt idx="9">
                  <c:v>1.18E-2</c:v>
                </c:pt>
                <c:pt idx="10">
                  <c:v>1.2E-2</c:v>
                </c:pt>
                <c:pt idx="11">
                  <c:v>1.12E-2</c:v>
                </c:pt>
                <c:pt idx="12">
                  <c:v>2.06E-2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Feuil1!$E$2:$E$14</c:f>
              <c:numCache>
                <c:formatCode>General</c:formatCode>
                <c:ptCount val="13"/>
                <c:pt idx="0">
                  <c:v>0.51670000000000005</c:v>
                </c:pt>
                <c:pt idx="1">
                  <c:v>0</c:v>
                </c:pt>
                <c:pt idx="2">
                  <c:v>0</c:v>
                </c:pt>
                <c:pt idx="3">
                  <c:v>0</c:v>
                </c:pt>
                <c:pt idx="4">
                  <c:v>0</c:v>
                </c:pt>
                <c:pt idx="5">
                  <c:v>0</c:v>
                </c:pt>
                <c:pt idx="6">
                  <c:v>0</c:v>
                </c:pt>
                <c:pt idx="7">
                  <c:v>0</c:v>
                </c:pt>
                <c:pt idx="8">
                  <c:v>0</c:v>
                </c:pt>
                <c:pt idx="9">
                  <c:v>9.4100000000000003E-2</c:v>
                </c:pt>
                <c:pt idx="10">
                  <c:v>3.61E-2</c:v>
                </c:pt>
                <c:pt idx="11">
                  <c:v>0.1236</c:v>
                </c:pt>
                <c:pt idx="12">
                  <c:v>0.19589999999999999</c:v>
                </c:pt>
              </c:numCache>
            </c:numRef>
          </c:val>
          <c:smooth val="0"/>
        </c:ser>
        <c:dLbls>
          <c:showLegendKey val="0"/>
          <c:showVal val="0"/>
          <c:showCatName val="0"/>
          <c:showSerName val="0"/>
          <c:showPercent val="0"/>
          <c:showBubbleSize val="0"/>
        </c:dLbls>
        <c:marker val="1"/>
        <c:smooth val="0"/>
        <c:axId val="175702784"/>
        <c:axId val="175704320"/>
      </c:lineChart>
      <c:catAx>
        <c:axId val="175702784"/>
        <c:scaling>
          <c:orientation val="minMax"/>
        </c:scaling>
        <c:delete val="0"/>
        <c:axPos val="b"/>
        <c:numFmt formatCode="@" sourceLinked="0"/>
        <c:majorTickMark val="out"/>
        <c:minorTickMark val="none"/>
        <c:tickLblPos val="nextTo"/>
        <c:crossAx val="175704320"/>
        <c:crosses val="autoZero"/>
        <c:auto val="1"/>
        <c:lblAlgn val="ctr"/>
        <c:lblOffset val="100"/>
        <c:noMultiLvlLbl val="0"/>
      </c:catAx>
      <c:valAx>
        <c:axId val="17570432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5702784"/>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Feuil1!$B$2:$B$14</c:f>
              <c:numCache>
                <c:formatCode>General</c:formatCode>
                <c:ptCount val="13"/>
                <c:pt idx="0">
                  <c:v>6.1699999999999998E-2</c:v>
                </c:pt>
                <c:pt idx="1">
                  <c:v>0.34389999999999998</c:v>
                </c:pt>
                <c:pt idx="2">
                  <c:v>0.42409999999999998</c:v>
                </c:pt>
                <c:pt idx="3">
                  <c:v>0.44590000000000002</c:v>
                </c:pt>
                <c:pt idx="4">
                  <c:v>0.44829999999999998</c:v>
                </c:pt>
                <c:pt idx="5">
                  <c:v>0.29520000000000002</c:v>
                </c:pt>
                <c:pt idx="6">
                  <c:v>0.58020000000000005</c:v>
                </c:pt>
                <c:pt idx="7">
                  <c:v>0.64659999999999995</c:v>
                </c:pt>
                <c:pt idx="8">
                  <c:v>0.60660000000000003</c:v>
                </c:pt>
                <c:pt idx="9">
                  <c:v>0.52590000000000003</c:v>
                </c:pt>
                <c:pt idx="10">
                  <c:v>0.64910000000000001</c:v>
                </c:pt>
                <c:pt idx="11">
                  <c:v>0.74109999999999998</c:v>
                </c:pt>
                <c:pt idx="12">
                  <c:v>0.83330000000000004</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Feuil1!$C$2:$C$14</c:f>
              <c:numCache>
                <c:formatCode>General</c:formatCode>
                <c:ptCount val="13"/>
                <c:pt idx="0">
                  <c:v>0.1101</c:v>
                </c:pt>
                <c:pt idx="1">
                  <c:v>0.65610000000000002</c:v>
                </c:pt>
                <c:pt idx="2">
                  <c:v>0.79379999999999995</c:v>
                </c:pt>
                <c:pt idx="3">
                  <c:v>0.78349999999999997</c:v>
                </c:pt>
                <c:pt idx="4">
                  <c:v>0.81469999999999998</c:v>
                </c:pt>
                <c:pt idx="5">
                  <c:v>0.77529999999999999</c:v>
                </c:pt>
                <c:pt idx="6">
                  <c:v>0.96950000000000003</c:v>
                </c:pt>
                <c:pt idx="7">
                  <c:v>0.97740000000000005</c:v>
                </c:pt>
                <c:pt idx="8">
                  <c:v>0.96719999999999995</c:v>
                </c:pt>
                <c:pt idx="9">
                  <c:v>0.75</c:v>
                </c:pt>
                <c:pt idx="10">
                  <c:v>0.87719999999999998</c:v>
                </c:pt>
                <c:pt idx="11">
                  <c:v>0.92859999999999998</c:v>
                </c:pt>
                <c:pt idx="12">
                  <c:v>0.93520000000000003</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Feuil1!$D$2:$D$14</c:f>
              <c:numCache>
                <c:formatCode>General</c:formatCode>
                <c:ptCount val="13"/>
                <c:pt idx="0">
                  <c:v>4.8500000000000001E-2</c:v>
                </c:pt>
                <c:pt idx="1">
                  <c:v>0.17</c:v>
                </c:pt>
                <c:pt idx="2">
                  <c:v>0.1401</c:v>
                </c:pt>
                <c:pt idx="3">
                  <c:v>0.16450000000000001</c:v>
                </c:pt>
                <c:pt idx="4">
                  <c:v>0.14219999999999999</c:v>
                </c:pt>
                <c:pt idx="5">
                  <c:v>0.16739999999999999</c:v>
                </c:pt>
                <c:pt idx="6">
                  <c:v>7.6E-3</c:v>
                </c:pt>
                <c:pt idx="7">
                  <c:v>0</c:v>
                </c:pt>
                <c:pt idx="8">
                  <c:v>8.2000000000000007E-3</c:v>
                </c:pt>
                <c:pt idx="9">
                  <c:v>8.6E-3</c:v>
                </c:pt>
                <c:pt idx="10">
                  <c:v>8.8000000000000005E-3</c:v>
                </c:pt>
                <c:pt idx="11">
                  <c:v>0</c:v>
                </c:pt>
                <c:pt idx="12">
                  <c:v>2.7799999999999998E-2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Feuil1!$E$2:$E$14</c:f>
              <c:numCache>
                <c:formatCode>General</c:formatCode>
                <c:ptCount val="13"/>
                <c:pt idx="0">
                  <c:v>0.84140000000000004</c:v>
                </c:pt>
                <c:pt idx="1">
                  <c:v>0.1739</c:v>
                </c:pt>
                <c:pt idx="2">
                  <c:v>6.6100000000000006E-2</c:v>
                </c:pt>
                <c:pt idx="3">
                  <c:v>5.1900000000000002E-2</c:v>
                </c:pt>
                <c:pt idx="4">
                  <c:v>4.3099999999999999E-2</c:v>
                </c:pt>
                <c:pt idx="5">
                  <c:v>5.7299999999999997E-2</c:v>
                </c:pt>
                <c:pt idx="6">
                  <c:v>2.29E-2</c:v>
                </c:pt>
                <c:pt idx="7">
                  <c:v>2.2599999999999999E-2</c:v>
                </c:pt>
                <c:pt idx="8">
                  <c:v>2.46E-2</c:v>
                </c:pt>
                <c:pt idx="9">
                  <c:v>0.2414</c:v>
                </c:pt>
                <c:pt idx="10">
                  <c:v>0.114</c:v>
                </c:pt>
                <c:pt idx="11">
                  <c:v>7.1400000000000005E-2</c:v>
                </c:pt>
                <c:pt idx="12">
                  <c:v>3.6999999999999998E-2</c:v>
                </c:pt>
              </c:numCache>
            </c:numRef>
          </c:val>
          <c:smooth val="0"/>
        </c:ser>
        <c:dLbls>
          <c:showLegendKey val="0"/>
          <c:showVal val="0"/>
          <c:showCatName val="0"/>
          <c:showSerName val="0"/>
          <c:showPercent val="0"/>
          <c:showBubbleSize val="0"/>
        </c:dLbls>
        <c:marker val="1"/>
        <c:smooth val="0"/>
        <c:axId val="175817472"/>
        <c:axId val="175819008"/>
      </c:lineChart>
      <c:catAx>
        <c:axId val="175817472"/>
        <c:scaling>
          <c:orientation val="minMax"/>
        </c:scaling>
        <c:delete val="0"/>
        <c:axPos val="b"/>
        <c:numFmt formatCode="@" sourceLinked="0"/>
        <c:majorTickMark val="out"/>
        <c:minorTickMark val="none"/>
        <c:tickLblPos val="nextTo"/>
        <c:crossAx val="175819008"/>
        <c:crosses val="autoZero"/>
        <c:auto val="1"/>
        <c:lblAlgn val="ctr"/>
        <c:lblOffset val="100"/>
        <c:noMultiLvlLbl val="0"/>
      </c:catAx>
      <c:valAx>
        <c:axId val="175819008"/>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5817472"/>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44CE-B6B3-4AB1-9A71-48FFDBDBA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2018-04-25T16:04:00Z</dcterms:modified>
</cp:coreProperties>
</file>