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2FB" w:rsidRDefault="00DE52FB" w:rsidP="00ED3BDC"/>
    <w:p w:rsidR="00DE52FB" w:rsidRDefault="00E95009" w:rsidP="00B67D96">
      <w:pPr>
        <w:jc w:val="center"/>
        <w:rPr>
          <w:rFonts w:cs="Arial"/>
          <w:b/>
          <w:bCs/>
          <w:sz w:val="32"/>
        </w:rPr>
      </w:pPr>
      <w:r>
        <w:rPr>
          <w:b/>
          <w:sz w:val="32"/>
        </w:rPr>
        <w:t xml:space="preserve">BWD Report For the Bathing Season </w:t>
      </w:r>
      <w:r>
        <w:rPr>
          <w:rFonts w:cs="Arial"/>
          <w:b/>
          <w:bCs/>
          <w:sz w:val="32"/>
        </w:rPr>
        <w:t>2017</w:t>
      </w:r>
    </w:p>
    <w:p w:rsidR="00DE52FB" w:rsidRDefault="0079462E" w:rsidP="00B67D96">
      <w:pPr>
        <w:jc w:val="center"/>
        <w:rPr>
          <w:b/>
          <w:sz w:val="40"/>
        </w:rPr>
      </w:pPr>
      <w:r>
        <w:rPr>
          <w:b/>
          <w:sz w:val="40"/>
        </w:rPr>
        <w:t>Luxembourg</w:t>
      </w:r>
    </w:p>
    <w:p w:rsidR="00DE52FB" w:rsidRDefault="00DE52FB" w:rsidP="00ED3BDC"/>
    <w:p w:rsidR="00DE52FB" w:rsidRDefault="00DE52FB" w:rsidP="00ED3BDC"/>
    <w:p w:rsidR="00DE52FB"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Luxembourg.</w:t>
      </w:r>
    </w:p>
    <w:p w:rsidR="00DE52FB" w:rsidRDefault="00DE52FB" w:rsidP="00ED3BDC"/>
    <w:p w:rsidR="00DE52FB" w:rsidRDefault="00DE52FB" w:rsidP="00ED3BDC"/>
    <w:p w:rsidR="00DE52FB" w:rsidRDefault="0079462E" w:rsidP="00ED3BDC">
      <w:pPr>
        <w:pStyle w:val="Heading1"/>
      </w:pPr>
      <w:r>
        <w:t xml:space="preserve">BWD reporting in the season </w:t>
      </w:r>
      <w:r>
        <w:rPr>
          <w:szCs w:val="28"/>
        </w:rPr>
        <w:t>2017</w:t>
      </w:r>
    </w:p>
    <w:p w:rsidR="00DE52FB" w:rsidRDefault="00DE52FB" w:rsidP="00ED3BDC"/>
    <w:p w:rsidR="00DE52FB"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DE52FB" w:rsidRDefault="0079462E" w:rsidP="00442644">
                            <w:pPr>
                              <w:jc w:val="center"/>
                              <w:rPr>
                                <w:rFonts w:asciiTheme="minorHAnsi" w:hAnsiTheme="minorHAnsi"/>
                                <w:b/>
                              </w:rPr>
                            </w:pPr>
                            <w:r>
                              <w:rPr>
                                <w:rFonts w:asciiTheme="minorHAnsi" w:hAnsiTheme="minorHAnsi"/>
                                <w:b/>
                              </w:rPr>
                              <w:t>Bathing waters of Luxembourg in 2017</w:t>
                            </w:r>
                          </w:p>
                          <w:p w:rsidR="00DE52FB" w:rsidRDefault="00DE52FB" w:rsidP="00ED3BDC">
                            <w:pPr>
                              <w:rPr>
                                <w:rFonts w:asciiTheme="minorHAnsi" w:hAnsiTheme="minorHAnsi"/>
                                <w:sz w:val="20"/>
                              </w:rPr>
                            </w:pPr>
                          </w:p>
                          <w:p w:rsidR="00DE52FB"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12</w:t>
                            </w:r>
                          </w:p>
                          <w:p w:rsidR="00DE52FB"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0</w:t>
                            </w:r>
                          </w:p>
                          <w:p w:rsidR="00DE52FB"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12</w:t>
                            </w:r>
                          </w:p>
                          <w:p w:rsidR="00DE52FB" w:rsidRDefault="00DE52FB" w:rsidP="00DB3D3B">
                            <w:pPr>
                              <w:tabs>
                                <w:tab w:val="right" w:pos="3544"/>
                              </w:tabs>
                              <w:rPr>
                                <w:rFonts w:asciiTheme="minorHAnsi" w:hAnsiTheme="minorHAnsi"/>
                                <w:sz w:val="20"/>
                              </w:rPr>
                            </w:pPr>
                          </w:p>
                          <w:p w:rsidR="00DE52FB" w:rsidRDefault="00396051"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153 </w:t>
                            </w:r>
                            <w:r w:rsidR="008A3C2A">
                              <w:rPr>
                                <w:rFonts w:asciiTheme="minorHAnsi" w:hAnsiTheme="minorHAnsi"/>
                                <w:b/>
                                <w:sz w:val="20"/>
                              </w:rPr>
                              <w:t>days</w:t>
                            </w:r>
                          </w:p>
                          <w:p w:rsidR="00DE52FB" w:rsidRDefault="0079462E" w:rsidP="00DB3D3B">
                            <w:pPr>
                              <w:tabs>
                                <w:tab w:val="right" w:pos="3544"/>
                              </w:tabs>
                              <w:rPr>
                                <w:rFonts w:asciiTheme="minorHAnsi" w:hAnsiTheme="minorHAnsi"/>
                                <w:sz w:val="20"/>
                              </w:rPr>
                            </w:pPr>
                            <w:r>
                              <w:rPr>
                                <w:rFonts w:asciiTheme="minorHAnsi" w:hAnsiTheme="minorHAnsi"/>
                                <w:sz w:val="20"/>
                              </w:rPr>
                              <w:tab/>
                              <w:t>1 May to 30 Sep</w:t>
                            </w:r>
                          </w:p>
                          <w:p w:rsidR="00DE52FB" w:rsidRDefault="00DE52FB" w:rsidP="00ED3BDC">
                            <w:pPr>
                              <w:rPr>
                                <w:rFonts w:asciiTheme="minorHAnsi" w:hAnsiTheme="minorHAnsi"/>
                                <w:sz w:val="20"/>
                              </w:rPr>
                            </w:pPr>
                          </w:p>
                          <w:p w:rsidR="00DE52FB"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72</w:t>
                            </w:r>
                          </w:p>
                          <w:p w:rsidR="00DE52FB" w:rsidRDefault="00DE52FB" w:rsidP="00ED3BDC">
                            <w:pPr>
                              <w:rPr>
                                <w:rFonts w:asciiTheme="minorHAnsi" w:hAnsiTheme="minorHAnsi"/>
                                <w:sz w:val="20"/>
                              </w:rPr>
                            </w:pPr>
                          </w:p>
                          <w:p w:rsidR="00DE52FB"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100 %</w:t>
                            </w:r>
                          </w:p>
                          <w:p w:rsidR="00DE52FB" w:rsidRDefault="0079462E" w:rsidP="00ED3BDC">
                            <w:pPr>
                              <w:rPr>
                                <w:rFonts w:asciiTheme="minorHAnsi" w:hAnsiTheme="minorHAnsi"/>
                                <w:b/>
                                <w:sz w:val="20"/>
                              </w:rPr>
                            </w:pPr>
                            <w:r>
                              <w:rPr>
                                <w:rFonts w:asciiTheme="minorHAnsi" w:hAnsiTheme="minorHAnsi"/>
                                <w:b/>
                                <w:sz w:val="20"/>
                              </w:rPr>
                              <w:t xml:space="preserve">with good or excellent </w:t>
                            </w:r>
                          </w:p>
                          <w:p w:rsidR="00DE52FB" w:rsidRDefault="0079462E" w:rsidP="00ED3BDC">
                            <w:pPr>
                              <w:rPr>
                                <w:rFonts w:asciiTheme="minorHAnsi" w:hAnsiTheme="minorHAnsi"/>
                                <w:b/>
                                <w:sz w:val="20"/>
                              </w:rPr>
                            </w:pPr>
                            <w:r>
                              <w:rPr>
                                <w:rFonts w:asciiTheme="minorHAnsi" w:hAnsiTheme="minorHAnsi"/>
                                <w:b/>
                                <w:sz w:val="20"/>
                              </w:rPr>
                              <w:t>water quality</w:t>
                            </w:r>
                          </w:p>
                          <w:p w:rsidR="00DE52FB" w:rsidRDefault="00DE52FB" w:rsidP="00ED3BDC">
                            <w:pPr>
                              <w:rPr>
                                <w:rFonts w:asciiTheme="minorHAnsi" w:hAnsiTheme="minorHAnsi"/>
                                <w:sz w:val="20"/>
                              </w:rPr>
                            </w:pPr>
                          </w:p>
                          <w:p w:rsidR="00DE52FB"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2007</w:t>
                            </w:r>
                          </w:p>
                          <w:p w:rsidR="00DE52FB"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DE52FB" w:rsidRDefault="0079462E" w:rsidP="00442644">
                      <w:pPr>
                        <w:jc w:val="center"/>
                        <w:rPr>
                          <w:rFonts w:asciiTheme="minorHAnsi" w:hAnsiTheme="minorHAnsi"/>
                          <w:b/>
                        </w:rPr>
                      </w:pPr>
                      <w:r>
                        <w:rPr>
                          <w:rFonts w:asciiTheme="minorHAnsi" w:hAnsiTheme="minorHAnsi"/>
                          <w:b/>
                        </w:rPr>
                        <w:t>Bathing waters of Luxembourg in 2017</w:t>
                      </w:r>
                    </w:p>
                    <w:p w:rsidR="00DE52FB" w:rsidRDefault="00DE52FB" w:rsidP="00ED3BDC">
                      <w:pPr>
                        <w:rPr>
                          <w:rFonts w:asciiTheme="minorHAnsi" w:hAnsiTheme="minorHAnsi"/>
                          <w:sz w:val="20"/>
                        </w:rPr>
                      </w:pPr>
                    </w:p>
                    <w:p w:rsidR="00DE52FB"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12</w:t>
                      </w:r>
                    </w:p>
                    <w:p w:rsidR="00DE52FB"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0</w:t>
                      </w:r>
                    </w:p>
                    <w:p w:rsidR="00DE52FB"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12</w:t>
                      </w:r>
                    </w:p>
                    <w:p w:rsidR="00DE52FB" w:rsidRDefault="00DE52FB" w:rsidP="00DB3D3B">
                      <w:pPr>
                        <w:tabs>
                          <w:tab w:val="right" w:pos="3544"/>
                        </w:tabs>
                        <w:rPr>
                          <w:rFonts w:asciiTheme="minorHAnsi" w:hAnsiTheme="minorHAnsi"/>
                          <w:sz w:val="20"/>
                        </w:rPr>
                      </w:pPr>
                    </w:p>
                    <w:p w:rsidR="00DE52FB" w:rsidRDefault="00396051"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153 </w:t>
                      </w:r>
                      <w:r w:rsidR="008A3C2A">
                        <w:rPr>
                          <w:rFonts w:asciiTheme="minorHAnsi" w:hAnsiTheme="minorHAnsi"/>
                          <w:b/>
                          <w:sz w:val="20"/>
                        </w:rPr>
                        <w:t>days</w:t>
                      </w:r>
                    </w:p>
                    <w:p w:rsidR="00DE52FB" w:rsidRDefault="0079462E" w:rsidP="00DB3D3B">
                      <w:pPr>
                        <w:tabs>
                          <w:tab w:val="right" w:pos="3544"/>
                        </w:tabs>
                        <w:rPr>
                          <w:rFonts w:asciiTheme="minorHAnsi" w:hAnsiTheme="minorHAnsi"/>
                          <w:sz w:val="20"/>
                        </w:rPr>
                      </w:pPr>
                      <w:r>
                        <w:rPr>
                          <w:rFonts w:asciiTheme="minorHAnsi" w:hAnsiTheme="minorHAnsi"/>
                          <w:sz w:val="20"/>
                        </w:rPr>
                        <w:tab/>
                        <w:t>1 May to 30 Sep</w:t>
                      </w:r>
                    </w:p>
                    <w:p w:rsidR="00DE52FB" w:rsidRDefault="00DE52FB" w:rsidP="00ED3BDC">
                      <w:pPr>
                        <w:rPr>
                          <w:rFonts w:asciiTheme="minorHAnsi" w:hAnsiTheme="minorHAnsi"/>
                          <w:sz w:val="20"/>
                        </w:rPr>
                      </w:pPr>
                    </w:p>
                    <w:p w:rsidR="00DE52FB"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72</w:t>
                      </w:r>
                    </w:p>
                    <w:p w:rsidR="00DE52FB" w:rsidRDefault="00DE52FB" w:rsidP="00ED3BDC">
                      <w:pPr>
                        <w:rPr>
                          <w:rFonts w:asciiTheme="minorHAnsi" w:hAnsiTheme="minorHAnsi"/>
                          <w:sz w:val="20"/>
                        </w:rPr>
                      </w:pPr>
                    </w:p>
                    <w:p w:rsidR="00DE52FB"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100 %</w:t>
                      </w:r>
                    </w:p>
                    <w:p w:rsidR="00DE52FB" w:rsidRDefault="0079462E" w:rsidP="00ED3BDC">
                      <w:pPr>
                        <w:rPr>
                          <w:rFonts w:asciiTheme="minorHAnsi" w:hAnsiTheme="minorHAnsi"/>
                          <w:b/>
                          <w:sz w:val="20"/>
                        </w:rPr>
                      </w:pPr>
                      <w:r>
                        <w:rPr>
                          <w:rFonts w:asciiTheme="minorHAnsi" w:hAnsiTheme="minorHAnsi"/>
                          <w:b/>
                          <w:sz w:val="20"/>
                        </w:rPr>
                        <w:t xml:space="preserve">with good or excellent </w:t>
                      </w:r>
                    </w:p>
                    <w:p w:rsidR="00DE52FB" w:rsidRDefault="0079462E" w:rsidP="00ED3BDC">
                      <w:pPr>
                        <w:rPr>
                          <w:rFonts w:asciiTheme="minorHAnsi" w:hAnsiTheme="minorHAnsi"/>
                          <w:b/>
                          <w:sz w:val="20"/>
                        </w:rPr>
                      </w:pPr>
                      <w:r>
                        <w:rPr>
                          <w:rFonts w:asciiTheme="minorHAnsi" w:hAnsiTheme="minorHAnsi"/>
                          <w:b/>
                          <w:sz w:val="20"/>
                        </w:rPr>
                        <w:t>water quality</w:t>
                      </w:r>
                    </w:p>
                    <w:p w:rsidR="00DE52FB" w:rsidRDefault="00DE52FB" w:rsidP="00ED3BDC">
                      <w:pPr>
                        <w:rPr>
                          <w:rFonts w:asciiTheme="minorHAnsi" w:hAnsiTheme="minorHAnsi"/>
                          <w:sz w:val="20"/>
                        </w:rPr>
                      </w:pPr>
                    </w:p>
                    <w:p w:rsidR="00DE52FB"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2007</w:t>
                      </w:r>
                    </w:p>
                    <w:p w:rsidR="00DE52FB"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12 bathing waters have been reported in Luxembourg. For each bathing water, five groups of parameters have been delivered</w:t>
      </w:r>
      <w:r>
        <w:rPr>
          <w:rStyle w:val="FootnoteReference"/>
        </w:rPr>
        <w:footnoteReference w:id="3"/>
      </w:r>
      <w:r>
        <w:t>:</w:t>
      </w:r>
    </w:p>
    <w:p w:rsidR="00DE52FB"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DE52FB"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DE52FB"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DE52FB"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DE52FB"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DE52FB" w:rsidRDefault="00DE52FB" w:rsidP="00ED3BDC">
      <w:bookmarkStart w:id="0" w:name="_GoBack"/>
      <w:bookmarkEnd w:id="0"/>
    </w:p>
    <w:p w:rsidR="00DE52FB" w:rsidRDefault="0079462E" w:rsidP="00ED3BDC">
      <w:r>
        <w:t xml:space="preserve">The authorities of </w:t>
      </w:r>
      <w:r>
        <w:rPr>
          <w:rFonts w:ascii="Cambria" w:hAnsi="Cambria"/>
        </w:rPr>
        <w:t>Luxembourg</w:t>
      </w:r>
      <w:r>
        <w:t xml:space="preserve"> report data according to the new BWD (2006/7/EC) since the season </w:t>
      </w:r>
      <w:r>
        <w:rPr>
          <w:rFonts w:ascii="Cambria" w:hAnsi="Cambria"/>
        </w:rPr>
        <w:t>2007</w:t>
      </w:r>
      <w:r>
        <w:t>.</w:t>
      </w:r>
    </w:p>
    <w:p w:rsidR="00DE52FB" w:rsidRDefault="00DE52FB" w:rsidP="00ED3BDC"/>
    <w:p w:rsidR="00DE52FB" w:rsidRDefault="0079462E" w:rsidP="00ED3BDC">
      <w:r>
        <w:t xml:space="preserve">Altogether, </w:t>
      </w:r>
      <w:r>
        <w:rPr>
          <w:rFonts w:ascii="Cambria" w:hAnsi="Cambria"/>
          <w:b/>
        </w:rPr>
        <w:t>12</w:t>
      </w:r>
      <w:r>
        <w:rPr>
          <w:rFonts w:ascii="Cambria" w:hAnsi="Cambria"/>
        </w:rPr>
        <w:t xml:space="preserve"> </w:t>
      </w:r>
      <w:r>
        <w:rPr>
          <w:b/>
        </w:rPr>
        <w:t xml:space="preserve">bathing waters </w:t>
      </w:r>
      <w:r>
        <w:t xml:space="preserve">have been reported – 0.1% of all bathing waters in Europe. </w:t>
      </w:r>
      <w:proofErr w:type="gramStart"/>
      <w:r w:rsidR="00396051">
        <w:t>One bathing water</w:t>
      </w:r>
      <w:proofErr w:type="gramEnd"/>
      <w:r w:rsidR="00396051">
        <w:t xml:space="preserve"> has </w:t>
      </w:r>
      <w:r>
        <w:t xml:space="preserve">been newly reported in the recent season. </w:t>
      </w:r>
      <w:r w:rsidR="00396051">
        <w:t xml:space="preserve">All </w:t>
      </w:r>
      <w:r>
        <w:t>bath</w:t>
      </w:r>
      <w:r w:rsidR="00396051">
        <w:t xml:space="preserve">ing waters in Luxembourg </w:t>
      </w:r>
      <w:r>
        <w:t xml:space="preserve">are inland. </w:t>
      </w:r>
      <w:r>
        <w:rPr>
          <w:b/>
        </w:rPr>
        <w:t>72 samples</w:t>
      </w:r>
      <w:r>
        <w:t xml:space="preserve"> were taken at bathing waters throughout the season – 6 per bathing water on average.</w:t>
      </w:r>
    </w:p>
    <w:p w:rsidR="00DE52FB" w:rsidRDefault="00DE52FB" w:rsidP="00ED3BDC"/>
    <w:p w:rsidR="00DE52FB" w:rsidRDefault="00396051" w:rsidP="00ED3BDC">
      <w:r>
        <w:t xml:space="preserve">The </w:t>
      </w:r>
      <w:r w:rsidR="00E61218">
        <w:t xml:space="preserve">bathing season period was from 1 May to </w:t>
      </w:r>
      <w:r>
        <w:t>30 September, i.e. 153 days.</w:t>
      </w:r>
    </w:p>
    <w:p w:rsidR="00DE52FB" w:rsidRDefault="00DE52FB" w:rsidP="00ED3BDC"/>
    <w:p w:rsidR="00DE52FB" w:rsidRDefault="002B438D" w:rsidP="00ED3BDC">
      <w:r>
        <w:t xml:space="preserve">Detailed information on bathing waters is available from national portal at </w:t>
      </w:r>
      <w:hyperlink r:id="rId9" w:history="1">
        <w:r w:rsidR="00396051" w:rsidRPr="003F4ABB">
          <w:rPr>
            <w:rStyle w:val="Hyperlink"/>
          </w:rPr>
          <w:t>https://eau.public.lu/actualites/2011/03/Profil_baignade/</w:t>
        </w:r>
      </w:hyperlink>
      <w:r>
        <w:t>.</w:t>
      </w:r>
    </w:p>
    <w:p w:rsidR="00DE52FB" w:rsidRDefault="00DE52FB" w:rsidP="00ED3BDC"/>
    <w:p w:rsidR="00DE52FB" w:rsidRDefault="00DE52FB" w:rsidP="00ED3BDC"/>
    <w:p w:rsidR="00DE52FB" w:rsidRDefault="002B438D" w:rsidP="00ED3BDC">
      <w:pPr>
        <w:pStyle w:val="Heading1"/>
      </w:pPr>
      <w:r>
        <w:t>Assessment methodology</w:t>
      </w:r>
      <w:r>
        <w:rPr>
          <w:rStyle w:val="FootnoteReference"/>
        </w:rPr>
        <w:footnoteReference w:id="4"/>
      </w:r>
    </w:p>
    <w:p w:rsidR="00DE52FB" w:rsidRDefault="00DE52FB" w:rsidP="00ED3BDC"/>
    <w:p w:rsidR="00DE52FB"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DE52FB" w:rsidRDefault="00DE52FB" w:rsidP="00ED3BDC"/>
    <w:p w:rsidR="00DE52FB" w:rsidRDefault="003F038E" w:rsidP="00ED3BDC">
      <w:r>
        <w:t>The monitoring requirements under the Directive are:</w:t>
      </w:r>
    </w:p>
    <w:p w:rsidR="00DE52FB"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DE52FB"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DE52FB"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DE52FB" w:rsidRDefault="00DE52FB" w:rsidP="00ED3BDC"/>
    <w:p w:rsidR="00DE52FB" w:rsidRDefault="003F038E" w:rsidP="003F038E">
      <w:r>
        <w:t xml:space="preserve">If these rules are satisfied, the bathing water is categorised as 'sampling frequency satisfied'. If not all monitoring requirements are fulfilled the bathing water is categorised as 'not enough samples'. 100.0%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DE52FB" w:rsidRDefault="00DE52FB" w:rsidP="00ED3BDC"/>
    <w:p w:rsidR="00DE52FB" w:rsidRDefault="00484359" w:rsidP="001F33BA">
      <w:pPr>
        <w:pStyle w:val="Caption"/>
        <w:keepNext/>
        <w:spacing w:after="120"/>
      </w:pPr>
      <w:bookmarkStart w:id="1" w:name="_Ref451270757"/>
      <w:r>
        <w:t xml:space="preserve">Table </w:t>
      </w:r>
      <w:r>
        <w:fldChar w:fldCharType="begin"/>
      </w:r>
      <w:r>
        <w:instrText xml:space="preserve"> SEQ Table \* ARABIC </w:instrText>
      </w:r>
      <w:r>
        <w:fldChar w:fldCharType="separate"/>
      </w:r>
      <w:r>
        <w:t>1</w:t>
      </w:r>
      <w:r>
        <w:fldChar w:fldCharType="end"/>
      </w:r>
      <w:bookmarkEnd w:id="1"/>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DE52FB" w:rsidTr="00484359">
        <w:trPr>
          <w:trHeight w:val="343"/>
        </w:trPr>
        <w:tc>
          <w:tcPr>
            <w:tcW w:w="6379" w:type="dxa"/>
            <w:shd w:val="clear" w:color="auto" w:fill="F2F2F2" w:themeFill="background1" w:themeFillShade="F2"/>
            <w:vAlign w:val="center"/>
          </w:tcPr>
          <w:p w:rsidR="00DE52FB" w:rsidRDefault="00DE52FB" w:rsidP="00484359">
            <w:pPr>
              <w:jc w:val="left"/>
              <w:rPr>
                <w:rFonts w:asciiTheme="minorHAnsi" w:hAnsiTheme="minorHAnsi"/>
                <w:b/>
                <w:sz w:val="20"/>
              </w:rPr>
            </w:pPr>
          </w:p>
        </w:tc>
        <w:tc>
          <w:tcPr>
            <w:tcW w:w="1701" w:type="dxa"/>
            <w:shd w:val="clear" w:color="auto" w:fill="F2F2F2" w:themeFill="background1" w:themeFillShade="F2"/>
            <w:vAlign w:val="center"/>
          </w:tcPr>
          <w:p w:rsidR="00DE52FB"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DE52FB" w:rsidRDefault="00484359" w:rsidP="00484359">
            <w:pPr>
              <w:jc w:val="left"/>
              <w:rPr>
                <w:rFonts w:asciiTheme="minorHAnsi" w:hAnsiTheme="minorHAnsi"/>
                <w:b/>
                <w:sz w:val="20"/>
              </w:rPr>
            </w:pPr>
            <w:r>
              <w:rPr>
                <w:rFonts w:asciiTheme="minorHAnsi" w:hAnsiTheme="minorHAnsi"/>
                <w:b/>
                <w:sz w:val="20"/>
              </w:rPr>
              <w:t>Share of total [%]</w:t>
            </w:r>
          </w:p>
        </w:tc>
      </w:tr>
      <w:tr w:rsidR="00DE52FB" w:rsidTr="00484359">
        <w:tc>
          <w:tcPr>
            <w:tcW w:w="6379" w:type="dxa"/>
          </w:tcPr>
          <w:p w:rsidR="00DE52FB"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DE52FB"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DE52FB" w:rsidRDefault="006D2330" w:rsidP="00B14C10">
            <w:pPr>
              <w:jc w:val="right"/>
              <w:rPr>
                <w:rFonts w:asciiTheme="minorHAnsi" w:hAnsiTheme="minorHAnsi"/>
                <w:sz w:val="20"/>
              </w:rPr>
            </w:pPr>
            <w:r>
              <w:rPr>
                <w:rFonts w:asciiTheme="minorHAnsi" w:hAnsiTheme="minorHAnsi"/>
                <w:sz w:val="20"/>
              </w:rPr>
              <w:t>12</w:t>
            </w:r>
          </w:p>
        </w:tc>
        <w:tc>
          <w:tcPr>
            <w:tcW w:w="1701" w:type="dxa"/>
            <w:vAlign w:val="center"/>
          </w:tcPr>
          <w:p w:rsidR="00DE52FB" w:rsidRDefault="004D61EC" w:rsidP="00B14C10">
            <w:pPr>
              <w:jc w:val="right"/>
              <w:rPr>
                <w:rFonts w:asciiTheme="minorHAnsi" w:hAnsiTheme="minorHAnsi"/>
                <w:b/>
                <w:sz w:val="20"/>
              </w:rPr>
            </w:pPr>
            <w:r>
              <w:rPr>
                <w:rFonts w:asciiTheme="minorHAnsi" w:hAnsiTheme="minorHAnsi"/>
                <w:sz w:val="20"/>
              </w:rPr>
              <w:t>100.0%</w:t>
            </w:r>
          </w:p>
        </w:tc>
      </w:tr>
      <w:tr w:rsidR="00DE52FB" w:rsidTr="00484359">
        <w:tc>
          <w:tcPr>
            <w:tcW w:w="6379" w:type="dxa"/>
          </w:tcPr>
          <w:p w:rsidR="00DE52FB"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DE52FB"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DE52FB" w:rsidRDefault="006710BD" w:rsidP="00B14C10">
            <w:pPr>
              <w:jc w:val="right"/>
              <w:rPr>
                <w:rFonts w:asciiTheme="minorHAnsi" w:hAnsiTheme="minorHAnsi"/>
                <w:b/>
                <w:sz w:val="20"/>
              </w:rPr>
            </w:pPr>
            <w:r>
              <w:rPr>
                <w:rFonts w:asciiTheme="minorHAnsi" w:hAnsiTheme="minorHAnsi"/>
                <w:sz w:val="20"/>
              </w:rPr>
              <w:t>0</w:t>
            </w:r>
          </w:p>
        </w:tc>
        <w:tc>
          <w:tcPr>
            <w:tcW w:w="1701" w:type="dxa"/>
            <w:vAlign w:val="center"/>
          </w:tcPr>
          <w:p w:rsidR="00DE52FB" w:rsidRDefault="004D61EC" w:rsidP="00484359">
            <w:pPr>
              <w:jc w:val="right"/>
              <w:rPr>
                <w:rFonts w:asciiTheme="minorHAnsi" w:hAnsiTheme="minorHAnsi"/>
                <w:b/>
                <w:sz w:val="20"/>
              </w:rPr>
            </w:pPr>
            <w:r>
              <w:rPr>
                <w:rFonts w:asciiTheme="minorHAnsi" w:hAnsiTheme="minorHAnsi"/>
                <w:sz w:val="20"/>
              </w:rPr>
              <w:t>0.0%</w:t>
            </w:r>
          </w:p>
        </w:tc>
      </w:tr>
      <w:tr w:rsidR="00DE52FB" w:rsidTr="00484359">
        <w:tc>
          <w:tcPr>
            <w:tcW w:w="6379" w:type="dxa"/>
          </w:tcPr>
          <w:p w:rsidR="00DE52FB" w:rsidRDefault="00D8207F" w:rsidP="00484359">
            <w:pPr>
              <w:jc w:val="left"/>
              <w:rPr>
                <w:rFonts w:asciiTheme="minorHAnsi" w:hAnsiTheme="minorHAnsi"/>
                <w:b/>
                <w:sz w:val="20"/>
              </w:rPr>
            </w:pPr>
            <w:r>
              <w:rPr>
                <w:rFonts w:asciiTheme="minorHAnsi" w:hAnsiTheme="minorHAnsi"/>
                <w:b/>
                <w:sz w:val="20"/>
              </w:rPr>
              <w:t>BWs that are new, subject to changes or closed in 2017</w:t>
            </w:r>
          </w:p>
          <w:p w:rsidR="00DE52FB" w:rsidRDefault="00B249A7" w:rsidP="00B249A7">
            <w:pPr>
              <w:jc w:val="left"/>
              <w:rPr>
                <w:rFonts w:asciiTheme="minorHAnsi" w:hAnsiTheme="minorHAnsi"/>
                <w:sz w:val="20"/>
              </w:rPr>
            </w:pPr>
            <w:r>
              <w:rPr>
                <w:rFonts w:asciiTheme="minorHAnsi" w:hAnsiTheme="minorHAnsi"/>
                <w:color w:val="595959" w:themeColor="text1" w:themeTint="A6"/>
                <w:sz w:val="20"/>
              </w:rPr>
              <w:t xml:space="preserve">These bathing waters do not have complete dataset for the last assessment </w:t>
            </w:r>
            <w:r>
              <w:rPr>
                <w:rFonts w:asciiTheme="minorHAnsi" w:hAnsiTheme="minorHAnsi"/>
                <w:color w:val="595959" w:themeColor="text1" w:themeTint="A6"/>
                <w:sz w:val="20"/>
              </w:rPr>
              <w:lastRenderedPageBreak/>
              <w:t>period because they are new, have been subject to changes (that are likely to affect the classification of the bathing water) or have been closed. They cannot be quality-classified.</w:t>
            </w:r>
          </w:p>
        </w:tc>
        <w:tc>
          <w:tcPr>
            <w:tcW w:w="1701" w:type="dxa"/>
            <w:vAlign w:val="center"/>
          </w:tcPr>
          <w:p w:rsidR="00DE52FB" w:rsidRDefault="006710BD" w:rsidP="00B14C10">
            <w:pPr>
              <w:jc w:val="right"/>
              <w:rPr>
                <w:rFonts w:asciiTheme="minorHAnsi" w:hAnsiTheme="minorHAnsi"/>
                <w:b/>
                <w:sz w:val="20"/>
              </w:rPr>
            </w:pPr>
            <w:r>
              <w:rPr>
                <w:rFonts w:asciiTheme="minorHAnsi" w:hAnsiTheme="minorHAnsi"/>
                <w:sz w:val="20"/>
              </w:rPr>
              <w:lastRenderedPageBreak/>
              <w:t>0</w:t>
            </w:r>
          </w:p>
        </w:tc>
        <w:tc>
          <w:tcPr>
            <w:tcW w:w="1701" w:type="dxa"/>
            <w:vAlign w:val="center"/>
          </w:tcPr>
          <w:p w:rsidR="00DE52FB" w:rsidRDefault="004D61EC" w:rsidP="00B14C10">
            <w:pPr>
              <w:jc w:val="right"/>
              <w:rPr>
                <w:rFonts w:asciiTheme="minorHAnsi" w:hAnsiTheme="minorHAnsi"/>
                <w:b/>
                <w:sz w:val="20"/>
              </w:rPr>
            </w:pPr>
            <w:r>
              <w:rPr>
                <w:rFonts w:asciiTheme="minorHAnsi" w:hAnsiTheme="minorHAnsi"/>
                <w:sz w:val="20"/>
              </w:rPr>
              <w:t>0.0%</w:t>
            </w:r>
          </w:p>
        </w:tc>
      </w:tr>
      <w:tr w:rsidR="00DE52FB" w:rsidTr="00484359">
        <w:trPr>
          <w:trHeight w:val="323"/>
        </w:trPr>
        <w:tc>
          <w:tcPr>
            <w:tcW w:w="6379" w:type="dxa"/>
            <w:shd w:val="clear" w:color="auto" w:fill="F2F2F2" w:themeFill="background1" w:themeFillShade="F2"/>
            <w:vAlign w:val="center"/>
          </w:tcPr>
          <w:p w:rsidR="00DE52FB" w:rsidRDefault="00025D01" w:rsidP="00D10D4B">
            <w:pPr>
              <w:jc w:val="left"/>
              <w:rPr>
                <w:rFonts w:asciiTheme="minorHAnsi" w:hAnsiTheme="minorHAnsi"/>
                <w:b/>
                <w:sz w:val="20"/>
              </w:rPr>
            </w:pPr>
            <w:r>
              <w:rPr>
                <w:rFonts w:asciiTheme="minorHAnsi" w:hAnsiTheme="minorHAnsi"/>
                <w:b/>
                <w:sz w:val="20"/>
              </w:rPr>
              <w:lastRenderedPageBreak/>
              <w:t>Total number of bathing waters in 2017</w:t>
            </w:r>
          </w:p>
        </w:tc>
        <w:tc>
          <w:tcPr>
            <w:tcW w:w="1701" w:type="dxa"/>
            <w:shd w:val="clear" w:color="auto" w:fill="F2F2F2" w:themeFill="background1" w:themeFillShade="F2"/>
            <w:vAlign w:val="center"/>
          </w:tcPr>
          <w:p w:rsidR="00DE52FB" w:rsidRDefault="00993FEC" w:rsidP="00484359">
            <w:pPr>
              <w:jc w:val="right"/>
              <w:rPr>
                <w:rFonts w:asciiTheme="minorHAnsi" w:hAnsiTheme="minorHAnsi"/>
                <w:b/>
                <w:sz w:val="20"/>
              </w:rPr>
            </w:pPr>
            <w:r>
              <w:rPr>
                <w:rFonts w:asciiTheme="minorHAnsi" w:hAnsiTheme="minorHAnsi"/>
                <w:b/>
                <w:sz w:val="20"/>
              </w:rPr>
              <w:t>12</w:t>
            </w:r>
          </w:p>
        </w:tc>
        <w:tc>
          <w:tcPr>
            <w:tcW w:w="1701" w:type="dxa"/>
            <w:shd w:val="clear" w:color="auto" w:fill="F2F2F2" w:themeFill="background1" w:themeFillShade="F2"/>
            <w:vAlign w:val="center"/>
          </w:tcPr>
          <w:p w:rsidR="00DE52FB" w:rsidRDefault="004943BD" w:rsidP="004943BD">
            <w:pPr>
              <w:jc w:val="right"/>
              <w:rPr>
                <w:rFonts w:asciiTheme="minorHAnsi" w:hAnsiTheme="minorHAnsi"/>
                <w:b/>
                <w:sz w:val="20"/>
              </w:rPr>
            </w:pPr>
            <w:r>
              <w:rPr>
                <w:rFonts w:asciiTheme="minorHAnsi" w:hAnsiTheme="minorHAnsi"/>
                <w:b/>
                <w:sz w:val="20"/>
              </w:rPr>
              <w:t>100%</w:t>
            </w:r>
          </w:p>
        </w:tc>
      </w:tr>
    </w:tbl>
    <w:p w:rsidR="00DE52FB" w:rsidRDefault="00DE52FB" w:rsidP="00ED3BDC"/>
    <w:p w:rsidR="00DE52FB"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DE52FB" w:rsidRDefault="00DE52FB" w:rsidP="00ED3BDC"/>
    <w:p w:rsidR="00DE52FB"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DE52FB" w:rsidRDefault="00DE52FB" w:rsidP="00ED3BDC"/>
    <w:p w:rsidR="00DE52FB" w:rsidRDefault="002F24A6" w:rsidP="002F24A6">
      <w:r>
        <w:t>Quality assessment is not possible for all bathing waters. In these cases, they are instead classified as either:</w:t>
      </w:r>
    </w:p>
    <w:p w:rsidR="00DE52FB" w:rsidRDefault="002F24A6" w:rsidP="002F24A6">
      <w:pPr>
        <w:ind w:firstLine="284"/>
      </w:pPr>
      <w:r>
        <w:t>• not enough samples</w:t>
      </w:r>
      <w:r>
        <w:rPr>
          <w:rStyle w:val="FootnoteReference"/>
        </w:rPr>
        <w:footnoteReference w:id="8"/>
      </w:r>
      <w:r>
        <w:t>;</w:t>
      </w:r>
    </w:p>
    <w:p w:rsidR="00DE52FB" w:rsidRDefault="002F24A6" w:rsidP="002F24A6">
      <w:pPr>
        <w:ind w:firstLine="284"/>
      </w:pPr>
      <w:r>
        <w:t>• new</w:t>
      </w:r>
      <w:r>
        <w:rPr>
          <w:rStyle w:val="FootnoteReference"/>
        </w:rPr>
        <w:footnoteReference w:id="9"/>
      </w:r>
      <w:r>
        <w:t>;</w:t>
      </w:r>
    </w:p>
    <w:p w:rsidR="00DE52FB" w:rsidRDefault="00783E42" w:rsidP="00783E42">
      <w:pPr>
        <w:ind w:firstLine="284"/>
      </w:pPr>
      <w:r>
        <w:t>• changes</w:t>
      </w:r>
      <w:r>
        <w:rPr>
          <w:rStyle w:val="FootnoteReference"/>
        </w:rPr>
        <w:footnoteReference w:id="10"/>
      </w:r>
      <w:r>
        <w:t>;</w:t>
      </w:r>
    </w:p>
    <w:p w:rsidR="00DE52FB" w:rsidRDefault="00783E42" w:rsidP="00783E42">
      <w:pPr>
        <w:ind w:firstLine="284"/>
      </w:pPr>
      <w:r>
        <w:t>• closed</w:t>
      </w:r>
      <w:r>
        <w:rPr>
          <w:rStyle w:val="FootnoteReference"/>
        </w:rPr>
        <w:footnoteReference w:id="11"/>
      </w:r>
      <w:r>
        <w:t>.</w:t>
      </w:r>
    </w:p>
    <w:p w:rsidR="00DE52FB" w:rsidRDefault="00DE52FB" w:rsidP="00AF3F74"/>
    <w:p w:rsidR="00DE52FB" w:rsidRDefault="00DE52FB" w:rsidP="00ED3BDC"/>
    <w:p w:rsidR="00DE52FB" w:rsidRDefault="002B438D" w:rsidP="00ED3BDC">
      <w:pPr>
        <w:pStyle w:val="Heading1"/>
      </w:pPr>
      <w:r>
        <w:t>Bathing water quality</w:t>
      </w:r>
    </w:p>
    <w:p w:rsidR="00DE52FB" w:rsidRDefault="00DE52FB" w:rsidP="00ED3BDC"/>
    <w:p w:rsidR="00DE52FB" w:rsidRDefault="002B438D" w:rsidP="00ED3BDC">
      <w:r>
        <w:t>The results of the bathing water quality in Luxembourg throughout t</w:t>
      </w:r>
      <w:r w:rsidR="00396051">
        <w:t xml:space="preserve">he past period are presented in </w:t>
      </w:r>
      <w:r>
        <w:t>Figure 2.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DE52FB" w:rsidRDefault="00DE52FB" w:rsidP="00ED3BDC"/>
    <w:p w:rsidR="00DE52FB" w:rsidRDefault="002B438D" w:rsidP="00ED3BDC">
      <w:pPr>
        <w:pStyle w:val="Heading2"/>
      </w:pPr>
      <w:r>
        <w:t>Coastal bathing waters</w:t>
      </w:r>
    </w:p>
    <w:p w:rsidR="00DE52FB" w:rsidRDefault="00DE52FB" w:rsidP="00ED3BDC"/>
    <w:p w:rsidR="00DE52FB" w:rsidRDefault="00DB3D3B" w:rsidP="00ED3BDC">
      <w:r>
        <w:t xml:space="preserve">There are no coastal bathing waters in Luxembourg. </w:t>
      </w:r>
    </w:p>
    <w:p w:rsidR="00DE52FB" w:rsidRDefault="00DE52FB" w:rsidP="00ED3BDC"/>
    <w:p w:rsidR="00DE52FB" w:rsidRDefault="00DE52FB" w:rsidP="00ED3BDC"/>
    <w:p w:rsidR="00DE52FB" w:rsidRDefault="00DE52FB" w:rsidP="00ED3BDC"/>
    <w:p w:rsidR="00396051" w:rsidRDefault="00396051" w:rsidP="00ED3BDC"/>
    <w:p w:rsidR="00396051" w:rsidRDefault="00396051" w:rsidP="00ED3BDC"/>
    <w:p w:rsidR="00DE52FB" w:rsidRDefault="002B438D" w:rsidP="00ED3BDC">
      <w:pPr>
        <w:pStyle w:val="Heading2"/>
      </w:pPr>
      <w:r>
        <w:lastRenderedPageBreak/>
        <w:t>Inland bathing waters</w:t>
      </w:r>
    </w:p>
    <w:p w:rsidR="00DE52FB" w:rsidRDefault="00DE52FB" w:rsidP="00ED3BDC"/>
    <w:p w:rsidR="00DE52FB" w:rsidRDefault="00396051" w:rsidP="002318DD">
      <w:r>
        <w:t>All</w:t>
      </w:r>
      <w:r w:rsidR="007C239B">
        <w:t xml:space="preserve"> existing inland bathing waters were of at least sufficient water quality in 2017. See Appendix 1 for numeric data.</w:t>
      </w:r>
      <w:bookmarkStart w:id="2" w:name="OLE_LINK19"/>
      <w:bookmarkStart w:id="3" w:name="OLE_LINK20"/>
      <w:r w:rsidR="007C239B">
        <w:t xml:space="preserve"> </w:t>
      </w:r>
    </w:p>
    <w:p w:rsidR="00DE52FB" w:rsidRDefault="00DE52FB" w:rsidP="002318DD"/>
    <w:p w:rsidR="00DE52FB"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2"/>
    <w:bookmarkEnd w:id="3"/>
    <w:p w:rsidR="00DE52FB"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Luxembourg. </w:t>
      </w:r>
      <w:r>
        <w:rPr>
          <w:b w:val="0"/>
        </w:rPr>
        <w:t>Note: the “At least sufficient” class also includes bathing waters of “Excellent” quality class, the sum of shares is therefore not 100%.</w:t>
      </w:r>
      <w:r>
        <w:t xml:space="preserve"> </w:t>
      </w:r>
    </w:p>
    <w:p w:rsidR="00DE52FB" w:rsidRDefault="00DE52FB" w:rsidP="00ED3BDC">
      <w:pPr>
        <w:pStyle w:val="Caption"/>
      </w:pPr>
    </w:p>
    <w:p w:rsidR="00DE52FB" w:rsidRDefault="00DE52FB" w:rsidP="00ED3BDC"/>
    <w:p w:rsidR="00DE52FB" w:rsidRDefault="00DE52FB" w:rsidP="00ED3BDC"/>
    <w:p w:rsidR="00DE52FB" w:rsidRDefault="002B438D" w:rsidP="00ED3BDC">
      <w:pPr>
        <w:pStyle w:val="Heading1"/>
      </w:pPr>
      <w:bookmarkStart w:id="4" w:name="OLE_LINK4"/>
      <w:bookmarkStart w:id="5" w:name="OLE_LINK5"/>
      <w:bookmarkStart w:id="6" w:name="OLE_LINK9"/>
      <w:r>
        <w:t>Information regarding management and other issues</w:t>
      </w:r>
      <w:bookmarkEnd w:id="4"/>
      <w:bookmarkEnd w:id="5"/>
    </w:p>
    <w:bookmarkEnd w:id="6"/>
    <w:p w:rsidR="00DE52FB" w:rsidRDefault="00DE52FB" w:rsidP="00ED3BDC"/>
    <w:p w:rsidR="00396051" w:rsidRPr="00DC6016" w:rsidRDefault="00396051" w:rsidP="00396051">
      <w:r>
        <w:t xml:space="preserve">Since </w:t>
      </w:r>
      <w:r w:rsidRPr="00DC6016">
        <w:t xml:space="preserve">the 2011 bathing season, the bathing water profiles are published </w:t>
      </w:r>
      <w:proofErr w:type="gramStart"/>
      <w:r w:rsidRPr="00DC6016">
        <w:t>for each bathing water</w:t>
      </w:r>
      <w:proofErr w:type="gramEnd"/>
      <w:r w:rsidRPr="00DC6016">
        <w:t xml:space="preserve"> determining the special protection measures and </w:t>
      </w:r>
      <w:r>
        <w:t xml:space="preserve">monitoring </w:t>
      </w:r>
      <w:r w:rsidRPr="00DC6016">
        <w:t>program</w:t>
      </w:r>
      <w:r>
        <w:t>mes</w:t>
      </w:r>
      <w:r w:rsidRPr="00DC6016">
        <w:t xml:space="preserve"> the state of bathing water.</w:t>
      </w:r>
    </w:p>
    <w:p w:rsidR="00396051" w:rsidRPr="00DC6016" w:rsidRDefault="00396051" w:rsidP="00396051"/>
    <w:p w:rsidR="00396051" w:rsidRPr="00DC6016" w:rsidRDefault="00396051" w:rsidP="00396051">
      <w:r w:rsidRPr="00DC6016">
        <w:t>Bathing water profile contains:</w:t>
      </w:r>
    </w:p>
    <w:p w:rsidR="00396051" w:rsidRPr="00DC6016" w:rsidRDefault="00396051" w:rsidP="00396051">
      <w:pPr>
        <w:numPr>
          <w:ilvl w:val="0"/>
          <w:numId w:val="6"/>
        </w:numPr>
        <w:ind w:left="851" w:hanging="369"/>
        <w:contextualSpacing/>
        <w:rPr>
          <w:rFonts w:eastAsia="Times New Roman"/>
        </w:rPr>
      </w:pPr>
      <w:r w:rsidRPr="00DC6016">
        <w:rPr>
          <w:rFonts w:eastAsia="Times New Roman"/>
        </w:rPr>
        <w:t>A description of the physical, geographical and hydrological characteristics of the bathing water that could be a source of pollution;</w:t>
      </w:r>
    </w:p>
    <w:p w:rsidR="00396051" w:rsidRPr="00DC6016" w:rsidRDefault="00396051" w:rsidP="00396051">
      <w:pPr>
        <w:numPr>
          <w:ilvl w:val="0"/>
          <w:numId w:val="6"/>
        </w:numPr>
        <w:ind w:left="851" w:hanging="369"/>
        <w:contextualSpacing/>
        <w:rPr>
          <w:rFonts w:eastAsia="Times New Roman"/>
        </w:rPr>
      </w:pPr>
      <w:r w:rsidRPr="00DC6016">
        <w:rPr>
          <w:rFonts w:eastAsia="Times New Roman"/>
        </w:rPr>
        <w:t>Identification and evaluation of sources of pollution that might affect bathers' health;</w:t>
      </w:r>
    </w:p>
    <w:p w:rsidR="00396051" w:rsidRPr="00DC6016" w:rsidRDefault="00396051" w:rsidP="00396051">
      <w:pPr>
        <w:numPr>
          <w:ilvl w:val="0"/>
          <w:numId w:val="6"/>
        </w:numPr>
        <w:ind w:left="851" w:hanging="369"/>
        <w:contextualSpacing/>
        <w:rPr>
          <w:rFonts w:eastAsia="Times New Roman"/>
        </w:rPr>
      </w:pPr>
      <w:r w:rsidRPr="00DC6016">
        <w:rPr>
          <w:rFonts w:eastAsia="Times New Roman"/>
        </w:rPr>
        <w:t xml:space="preserve">Evaluation of the potential for proliferation of cyanobacteria and </w:t>
      </w:r>
      <w:proofErr w:type="spellStart"/>
      <w:r w:rsidRPr="00DC6016">
        <w:rPr>
          <w:rFonts w:eastAsia="Times New Roman"/>
        </w:rPr>
        <w:t>macroalgae</w:t>
      </w:r>
      <w:proofErr w:type="spellEnd"/>
      <w:r w:rsidRPr="00DC6016">
        <w:rPr>
          <w:rFonts w:eastAsia="Times New Roman"/>
        </w:rPr>
        <w:t>;</w:t>
      </w:r>
    </w:p>
    <w:p w:rsidR="00396051" w:rsidRPr="00DC6016" w:rsidRDefault="00396051" w:rsidP="00396051">
      <w:pPr>
        <w:numPr>
          <w:ilvl w:val="0"/>
          <w:numId w:val="6"/>
        </w:numPr>
        <w:ind w:left="851" w:hanging="369"/>
        <w:contextualSpacing/>
        <w:rPr>
          <w:rFonts w:eastAsia="Times New Roman"/>
        </w:rPr>
      </w:pPr>
      <w:r w:rsidRPr="00DC6016">
        <w:rPr>
          <w:rFonts w:eastAsia="Times New Roman"/>
        </w:rPr>
        <w:t>The location of the monitoring point.</w:t>
      </w:r>
    </w:p>
    <w:p w:rsidR="00396051" w:rsidRPr="00DC6016" w:rsidRDefault="00396051" w:rsidP="00396051"/>
    <w:p w:rsidR="00396051" w:rsidRPr="00DC6016" w:rsidRDefault="00396051" w:rsidP="00396051">
      <w:r w:rsidRPr="00DC6016">
        <w:t>If the bathing water profile identified a source of pollution, it should also inform about:</w:t>
      </w:r>
    </w:p>
    <w:p w:rsidR="00396051" w:rsidRPr="00DC6016" w:rsidRDefault="00396051" w:rsidP="00396051">
      <w:pPr>
        <w:numPr>
          <w:ilvl w:val="0"/>
          <w:numId w:val="7"/>
        </w:numPr>
        <w:ind w:left="850" w:hanging="357"/>
        <w:contextualSpacing/>
        <w:rPr>
          <w:rFonts w:eastAsia="Times New Roman"/>
        </w:rPr>
      </w:pPr>
      <w:r w:rsidRPr="00DC6016">
        <w:rPr>
          <w:rFonts w:eastAsia="Times New Roman"/>
        </w:rPr>
        <w:t>The nature, frequency and duration of anticipated pollution which can be expected;</w:t>
      </w:r>
    </w:p>
    <w:p w:rsidR="00396051" w:rsidRPr="00DC6016" w:rsidRDefault="00396051" w:rsidP="00396051">
      <w:pPr>
        <w:numPr>
          <w:ilvl w:val="1"/>
          <w:numId w:val="7"/>
        </w:numPr>
        <w:ind w:left="850" w:hanging="357"/>
        <w:contextualSpacing/>
        <w:rPr>
          <w:rFonts w:eastAsia="Times New Roman"/>
        </w:rPr>
      </w:pPr>
      <w:r w:rsidRPr="00DC6016">
        <w:rPr>
          <w:rFonts w:eastAsia="Times New Roman"/>
        </w:rPr>
        <w:t xml:space="preserve">The details of any remaining causes of pollution, including management measures taken and the </w:t>
      </w:r>
      <w:r>
        <w:rPr>
          <w:rFonts w:eastAsia="Times New Roman"/>
        </w:rPr>
        <w:t>timetable for their elimination.</w:t>
      </w:r>
    </w:p>
    <w:p w:rsidR="00396051" w:rsidRDefault="00396051" w:rsidP="00396051">
      <w:pPr>
        <w:rPr>
          <w:rFonts w:eastAsia="Times New Roman"/>
        </w:rPr>
      </w:pPr>
    </w:p>
    <w:p w:rsidR="00DE52FB" w:rsidRDefault="00DE52FB" w:rsidP="00ED3BDC"/>
    <w:p w:rsidR="00396051" w:rsidRDefault="00396051" w:rsidP="00ED3BDC"/>
    <w:p w:rsidR="00396051" w:rsidRDefault="00396051" w:rsidP="00ED3BDC"/>
    <w:p w:rsidR="00396051" w:rsidRDefault="00396051" w:rsidP="00ED3BDC"/>
    <w:p w:rsidR="00396051" w:rsidRDefault="00396051" w:rsidP="00ED3BDC"/>
    <w:p w:rsidR="00DE52FB" w:rsidRDefault="0024729D" w:rsidP="00ED3BDC">
      <w:pPr>
        <w:pStyle w:val="Heading1"/>
      </w:pPr>
      <w:r>
        <w:lastRenderedPageBreak/>
        <w:t>Bathing water quality assessment presentation in online viewers</w:t>
      </w:r>
    </w:p>
    <w:p w:rsidR="00DE52FB" w:rsidRDefault="00DE52FB" w:rsidP="00ED3BDC"/>
    <w:p w:rsidR="00DE52FB"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1" w:history="1">
        <w:r>
          <w:rPr>
            <w:rStyle w:val="Hyperlink"/>
          </w:rPr>
          <w:t>http://ec.europa.eu/environment/water/index_en.htm</w:t>
        </w:r>
      </w:hyperlink>
      <w:r>
        <w:t>.</w:t>
      </w:r>
    </w:p>
    <w:p w:rsidR="00DE52FB" w:rsidRDefault="00DE52FB" w:rsidP="00EC573D"/>
    <w:p w:rsidR="00DE52FB" w:rsidRDefault="003E2BA0" w:rsidP="003E2BA0">
      <w:r>
        <w:t>The bathing water section of the Water Information System for Europe (WISE) which is accessible at the EEA bathing water website (</w:t>
      </w:r>
      <w:hyperlink r:id="rId12"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DE52FB" w:rsidRDefault="002B438D" w:rsidP="003E2BA0">
      <w:r>
        <w:br w:type="page"/>
      </w:r>
    </w:p>
    <w:p w:rsidR="00DE52FB" w:rsidRDefault="002B438D" w:rsidP="00ED3BDC">
      <w:pPr>
        <w:rPr>
          <w:b/>
          <w:sz w:val="28"/>
        </w:rPr>
      </w:pPr>
      <w:r>
        <w:rPr>
          <w:b/>
          <w:sz w:val="28"/>
        </w:rPr>
        <w:lastRenderedPageBreak/>
        <w:t>Appendix 1: Results of bathing water quality in Luxembourg from 2014 to 2017</w:t>
      </w:r>
    </w:p>
    <w:p w:rsidR="00DE52FB" w:rsidRDefault="00DE52FB" w:rsidP="00ED3BDC"/>
    <w:p w:rsidR="00DE52FB"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DE52FB" w:rsidTr="005F5E3F">
        <w:tc>
          <w:tcPr>
            <w:tcW w:w="1276" w:type="dxa"/>
            <w:gridSpan w:val="2"/>
            <w:vMerge w:val="restart"/>
            <w:shd w:val="clear" w:color="auto" w:fill="F2F2F2" w:themeFill="background1" w:themeFillShade="F2"/>
          </w:tcPr>
          <w:p w:rsidR="00DE52FB" w:rsidRDefault="00DE52FB"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DE52FB" w:rsidRDefault="005F5E3F" w:rsidP="00B853E1">
            <w:pPr>
              <w:jc w:val="center"/>
              <w:rPr>
                <w:rFonts w:asciiTheme="minorHAnsi" w:hAnsiTheme="minorHAnsi"/>
                <w:b/>
                <w:sz w:val="20"/>
                <w:szCs w:val="20"/>
              </w:rPr>
            </w:pPr>
            <w:r>
              <w:rPr>
                <w:rFonts w:asciiTheme="minorHAnsi" w:hAnsiTheme="minorHAnsi"/>
                <w:b/>
                <w:sz w:val="20"/>
                <w:szCs w:val="20"/>
              </w:rPr>
              <w:t>Total</w:t>
            </w:r>
          </w:p>
          <w:p w:rsidR="00DE52FB" w:rsidRDefault="005F5E3F" w:rsidP="00B853E1">
            <w:pPr>
              <w:jc w:val="center"/>
              <w:rPr>
                <w:rFonts w:asciiTheme="minorHAnsi" w:hAnsiTheme="minorHAnsi"/>
                <w:b/>
                <w:sz w:val="20"/>
                <w:szCs w:val="20"/>
              </w:rPr>
            </w:pPr>
            <w:r>
              <w:rPr>
                <w:rFonts w:asciiTheme="minorHAnsi" w:hAnsiTheme="minorHAnsi"/>
                <w:b/>
                <w:sz w:val="20"/>
                <w:szCs w:val="20"/>
              </w:rPr>
              <w:t>number</w:t>
            </w:r>
          </w:p>
          <w:p w:rsidR="00DE52FB" w:rsidRDefault="005F5E3F" w:rsidP="00B853E1">
            <w:pPr>
              <w:jc w:val="center"/>
              <w:rPr>
                <w:rFonts w:asciiTheme="minorHAnsi" w:hAnsiTheme="minorHAnsi"/>
                <w:b/>
                <w:sz w:val="20"/>
                <w:szCs w:val="20"/>
              </w:rPr>
            </w:pPr>
            <w:r>
              <w:rPr>
                <w:rFonts w:asciiTheme="minorHAnsi" w:hAnsiTheme="minorHAnsi"/>
                <w:b/>
                <w:sz w:val="20"/>
                <w:szCs w:val="20"/>
              </w:rPr>
              <w:t>of</w:t>
            </w:r>
          </w:p>
          <w:p w:rsidR="00DE52FB" w:rsidRDefault="005F5E3F" w:rsidP="00B853E1">
            <w:pPr>
              <w:jc w:val="center"/>
              <w:rPr>
                <w:rFonts w:asciiTheme="minorHAnsi" w:hAnsiTheme="minorHAnsi"/>
                <w:b/>
                <w:sz w:val="20"/>
                <w:szCs w:val="20"/>
              </w:rPr>
            </w:pPr>
            <w:r>
              <w:rPr>
                <w:rFonts w:asciiTheme="minorHAnsi" w:hAnsiTheme="minorHAnsi"/>
                <w:b/>
                <w:sz w:val="20"/>
                <w:szCs w:val="20"/>
              </w:rPr>
              <w:t>bathing</w:t>
            </w:r>
          </w:p>
          <w:p w:rsidR="00DE52FB"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DE52FB"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DE52FB" w:rsidRDefault="005F5E3F" w:rsidP="00B853E1">
            <w:pPr>
              <w:jc w:val="center"/>
              <w:rPr>
                <w:rFonts w:asciiTheme="minorHAnsi" w:hAnsiTheme="minorHAnsi"/>
                <w:b/>
                <w:sz w:val="20"/>
                <w:szCs w:val="20"/>
              </w:rPr>
            </w:pPr>
            <w:r>
              <w:rPr>
                <w:rFonts w:asciiTheme="minorHAnsi" w:hAnsiTheme="minorHAnsi"/>
                <w:b/>
                <w:sz w:val="20"/>
                <w:szCs w:val="20"/>
              </w:rPr>
              <w:t>At least</w:t>
            </w:r>
          </w:p>
          <w:p w:rsidR="00DE52FB" w:rsidRDefault="005F5E3F" w:rsidP="00B853E1">
            <w:pPr>
              <w:jc w:val="center"/>
              <w:rPr>
                <w:rFonts w:asciiTheme="minorHAnsi" w:hAnsiTheme="minorHAnsi"/>
                <w:b/>
                <w:sz w:val="20"/>
                <w:szCs w:val="20"/>
              </w:rPr>
            </w:pPr>
            <w:r>
              <w:rPr>
                <w:rFonts w:asciiTheme="minorHAnsi" w:hAnsiTheme="minorHAnsi"/>
                <w:b/>
                <w:sz w:val="20"/>
                <w:szCs w:val="20"/>
              </w:rPr>
              <w:t>sufficient</w:t>
            </w:r>
          </w:p>
          <w:p w:rsidR="00DE52FB"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DE52FB"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DE52FB" w:rsidRDefault="005F5E3F" w:rsidP="00B853E1">
            <w:pPr>
              <w:jc w:val="center"/>
              <w:rPr>
                <w:rFonts w:asciiTheme="minorHAnsi" w:hAnsiTheme="minorHAnsi"/>
                <w:b/>
                <w:sz w:val="20"/>
                <w:szCs w:val="20"/>
              </w:rPr>
            </w:pPr>
            <w:r>
              <w:rPr>
                <w:rFonts w:asciiTheme="minorHAnsi" w:hAnsiTheme="minorHAnsi"/>
                <w:b/>
                <w:sz w:val="20"/>
                <w:szCs w:val="20"/>
              </w:rPr>
              <w:t>Quality</w:t>
            </w:r>
          </w:p>
          <w:p w:rsidR="00DE52FB"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DE52FB"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DE52FB"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DE52FB" w:rsidRDefault="005F5E3F" w:rsidP="00B853E1">
            <w:pPr>
              <w:jc w:val="center"/>
              <w:rPr>
                <w:rFonts w:asciiTheme="minorHAnsi" w:hAnsiTheme="minorHAnsi"/>
                <w:b/>
                <w:sz w:val="20"/>
                <w:szCs w:val="20"/>
              </w:rPr>
            </w:pPr>
            <w:r>
              <w:rPr>
                <w:rFonts w:asciiTheme="minorHAnsi" w:hAnsiTheme="minorHAnsi"/>
                <w:b/>
                <w:sz w:val="20"/>
                <w:szCs w:val="20"/>
              </w:rPr>
              <w:t>/new bathing</w:t>
            </w:r>
          </w:p>
          <w:p w:rsidR="00DE52FB" w:rsidRDefault="005F5E3F" w:rsidP="00B853E1">
            <w:pPr>
              <w:jc w:val="center"/>
              <w:rPr>
                <w:rFonts w:asciiTheme="minorHAnsi" w:hAnsiTheme="minorHAnsi"/>
                <w:b/>
                <w:sz w:val="20"/>
                <w:szCs w:val="20"/>
              </w:rPr>
            </w:pPr>
            <w:r>
              <w:rPr>
                <w:rFonts w:asciiTheme="minorHAnsi" w:hAnsiTheme="minorHAnsi"/>
                <w:b/>
                <w:sz w:val="20"/>
                <w:szCs w:val="20"/>
              </w:rPr>
              <w:t>waters/bathing</w:t>
            </w:r>
          </w:p>
          <w:p w:rsidR="00DE52FB"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DE52FB" w:rsidTr="005F5E3F">
        <w:tc>
          <w:tcPr>
            <w:tcW w:w="1276" w:type="dxa"/>
            <w:gridSpan w:val="2"/>
            <w:vMerge/>
            <w:tcBorders>
              <w:bottom w:val="single" w:sz="4" w:space="0" w:color="808080" w:themeColor="background1" w:themeShade="80"/>
            </w:tcBorders>
            <w:shd w:val="clear" w:color="auto" w:fill="F2F2F2" w:themeFill="background1" w:themeFillShade="F2"/>
          </w:tcPr>
          <w:p w:rsidR="00DE52FB" w:rsidRDefault="00DE52FB"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DE52FB" w:rsidRDefault="00DE52FB"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DE52FB"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DE52FB"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DE52FB"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DE52FB"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DE52FB"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DE52FB"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DE52FB"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DE52FB" w:rsidRDefault="005F5E3F" w:rsidP="00430B97">
            <w:pPr>
              <w:jc w:val="center"/>
              <w:rPr>
                <w:rFonts w:asciiTheme="minorHAnsi" w:hAnsiTheme="minorHAnsi"/>
                <w:b/>
                <w:sz w:val="20"/>
                <w:szCs w:val="20"/>
              </w:rPr>
            </w:pPr>
            <w:r>
              <w:rPr>
                <w:rFonts w:asciiTheme="minorHAnsi" w:hAnsiTheme="minorHAnsi"/>
                <w:b/>
                <w:sz w:val="20"/>
                <w:szCs w:val="20"/>
              </w:rPr>
              <w:t>%</w:t>
            </w:r>
          </w:p>
        </w:tc>
      </w:tr>
      <w:tr w:rsidR="00DE52FB" w:rsidTr="005F5E3F">
        <w:trPr>
          <w:cantSplit/>
          <w:trHeight w:val="425"/>
        </w:trPr>
        <w:tc>
          <w:tcPr>
            <w:tcW w:w="426" w:type="dxa"/>
            <w:vMerge w:val="restart"/>
            <w:tcBorders>
              <w:top w:val="single" w:sz="4" w:space="0" w:color="808080" w:themeColor="background1" w:themeShade="80"/>
            </w:tcBorders>
            <w:textDirection w:val="btLr"/>
            <w:vAlign w:val="center"/>
          </w:tcPr>
          <w:p w:rsidR="00DE52FB" w:rsidRDefault="005F5E3F" w:rsidP="00396051">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11</w:t>
            </w:r>
          </w:p>
        </w:tc>
        <w:tc>
          <w:tcPr>
            <w:tcW w:w="939"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11</w:t>
            </w:r>
          </w:p>
        </w:tc>
        <w:tc>
          <w:tcPr>
            <w:tcW w:w="904"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11</w:t>
            </w:r>
          </w:p>
        </w:tc>
        <w:tc>
          <w:tcPr>
            <w:tcW w:w="993"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0.0</w:t>
            </w:r>
          </w:p>
        </w:tc>
      </w:tr>
      <w:tr w:rsidR="00DE52FB" w:rsidTr="005F5E3F">
        <w:trPr>
          <w:cantSplit/>
          <w:trHeight w:val="425"/>
        </w:trPr>
        <w:tc>
          <w:tcPr>
            <w:tcW w:w="426" w:type="dxa"/>
            <w:vMerge/>
            <w:tcBorders>
              <w:top w:val="single" w:sz="4" w:space="0" w:color="808080" w:themeColor="background1" w:themeShade="80"/>
            </w:tcBorders>
            <w:textDirection w:val="btLr"/>
            <w:vAlign w:val="center"/>
          </w:tcPr>
          <w:p w:rsidR="00DE52FB"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DE52FB" w:rsidRDefault="00DE52FB"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11</w:t>
            </w:r>
          </w:p>
        </w:tc>
        <w:tc>
          <w:tcPr>
            <w:tcW w:w="939"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11</w:t>
            </w:r>
          </w:p>
        </w:tc>
        <w:tc>
          <w:tcPr>
            <w:tcW w:w="904"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11</w:t>
            </w:r>
          </w:p>
        </w:tc>
        <w:tc>
          <w:tcPr>
            <w:tcW w:w="993"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0.0</w:t>
            </w:r>
          </w:p>
        </w:tc>
      </w:tr>
      <w:tr w:rsidR="00DE52FB" w:rsidTr="005F5E3F">
        <w:trPr>
          <w:cantSplit/>
          <w:trHeight w:val="425"/>
        </w:trPr>
        <w:tc>
          <w:tcPr>
            <w:tcW w:w="426" w:type="dxa"/>
            <w:vMerge/>
            <w:tcBorders>
              <w:top w:val="single" w:sz="4" w:space="0" w:color="808080" w:themeColor="background1" w:themeShade="80"/>
            </w:tcBorders>
            <w:textDirection w:val="btLr"/>
            <w:vAlign w:val="center"/>
          </w:tcPr>
          <w:p w:rsidR="00DE52FB"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DE52FB" w:rsidRDefault="00DE52FB"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11</w:t>
            </w:r>
          </w:p>
        </w:tc>
        <w:tc>
          <w:tcPr>
            <w:tcW w:w="939"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11</w:t>
            </w:r>
          </w:p>
        </w:tc>
        <w:tc>
          <w:tcPr>
            <w:tcW w:w="904"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11</w:t>
            </w:r>
          </w:p>
        </w:tc>
        <w:tc>
          <w:tcPr>
            <w:tcW w:w="993"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0.0</w:t>
            </w:r>
          </w:p>
        </w:tc>
      </w:tr>
      <w:tr w:rsidR="00DE52FB" w:rsidTr="005F5E3F">
        <w:trPr>
          <w:cantSplit/>
          <w:trHeight w:val="425"/>
        </w:trPr>
        <w:tc>
          <w:tcPr>
            <w:tcW w:w="426" w:type="dxa"/>
            <w:vMerge/>
            <w:tcBorders>
              <w:top w:val="single" w:sz="4" w:space="0" w:color="808080" w:themeColor="background1" w:themeShade="80"/>
            </w:tcBorders>
            <w:textDirection w:val="btLr"/>
            <w:vAlign w:val="center"/>
          </w:tcPr>
          <w:p w:rsidR="00DE52FB"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DE52FB" w:rsidRDefault="00DE52FB"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12</w:t>
            </w:r>
          </w:p>
        </w:tc>
        <w:tc>
          <w:tcPr>
            <w:tcW w:w="939"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12</w:t>
            </w:r>
          </w:p>
        </w:tc>
        <w:tc>
          <w:tcPr>
            <w:tcW w:w="904"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12</w:t>
            </w:r>
          </w:p>
        </w:tc>
        <w:tc>
          <w:tcPr>
            <w:tcW w:w="993"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DE52FB" w:rsidRDefault="005F5E3F" w:rsidP="002E7263">
            <w:pPr>
              <w:jc w:val="right"/>
              <w:rPr>
                <w:rFonts w:asciiTheme="minorHAnsi" w:hAnsiTheme="minorHAnsi"/>
                <w:b/>
                <w:sz w:val="20"/>
                <w:szCs w:val="20"/>
              </w:rPr>
            </w:pPr>
            <w:r>
              <w:rPr>
                <w:rFonts w:asciiTheme="minorHAnsi" w:hAnsiTheme="minorHAnsi"/>
                <w:b/>
                <w:sz w:val="20"/>
                <w:szCs w:val="20"/>
              </w:rPr>
              <w:t>0.0</w:t>
            </w:r>
          </w:p>
        </w:tc>
      </w:tr>
    </w:tbl>
    <w:p w:rsidR="00DE52FB"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DE52FB" w:rsidRDefault="002B438D" w:rsidP="00ED3BDC">
      <w:r>
        <w:br w:type="page"/>
      </w:r>
    </w:p>
    <w:p w:rsidR="00DE52FB" w:rsidRDefault="002B438D" w:rsidP="00ED3BDC">
      <w:pPr>
        <w:rPr>
          <w:b/>
          <w:sz w:val="28"/>
        </w:rPr>
      </w:pPr>
      <w:r>
        <w:rPr>
          <w:b/>
          <w:sz w:val="28"/>
        </w:rPr>
        <w:lastRenderedPageBreak/>
        <w:t>Appendix 2: Bathing water quality map</w:t>
      </w:r>
    </w:p>
    <w:p w:rsidR="00DE52FB" w:rsidRDefault="00DE52FB" w:rsidP="00ED3BDC"/>
    <w:p w:rsidR="00DE52FB" w:rsidRDefault="00396051" w:rsidP="00ED3BDC">
      <w:r>
        <w:rPr>
          <w:noProof/>
          <w:lang w:eastAsia="en-GB"/>
        </w:rPr>
        <w:drawing>
          <wp:inline distT="0" distB="0" distL="0" distR="0">
            <wp:extent cx="6188710" cy="8008919"/>
            <wp:effectExtent l="0" t="0" r="2540" b="0"/>
            <wp:docPr id="2" name="Picture 2" descr="D:\Projekti\BWD\BWD 2017\National reports\GIS\map\NationalReports\PNG\20180420\LU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LU_201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DE52FB" w:rsidSect="00344240">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F71" w:rsidRDefault="00551F71" w:rsidP="00ED3BDC">
      <w:r>
        <w:separator/>
      </w:r>
    </w:p>
  </w:endnote>
  <w:endnote w:type="continuationSeparator" w:id="0">
    <w:p w:rsidR="00551F71" w:rsidRDefault="00551F71" w:rsidP="00ED3BDC">
      <w:r>
        <w:continuationSeparator/>
      </w:r>
    </w:p>
  </w:endnote>
  <w:endnote w:type="continuationNotice" w:id="1">
    <w:p w:rsidR="00551F71" w:rsidRDefault="00551F71"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FB" w:rsidRDefault="00DE52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FB" w:rsidRDefault="00DE52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FB" w:rsidRDefault="00DE5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F71" w:rsidRDefault="00551F71" w:rsidP="00ED3BDC">
      <w:r>
        <w:separator/>
      </w:r>
    </w:p>
  </w:footnote>
  <w:footnote w:type="continuationSeparator" w:id="0">
    <w:p w:rsidR="00551F71" w:rsidRDefault="00551F71" w:rsidP="00ED3BDC">
      <w:r>
        <w:continuationSeparator/>
      </w:r>
    </w:p>
  </w:footnote>
  <w:footnote w:type="continuationNotice" w:id="1">
    <w:p w:rsidR="00551F71" w:rsidRDefault="00551F71"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FB" w:rsidRDefault="00DE5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FB" w:rsidRDefault="00DE52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FB"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24013C"/>
    <w:multiLevelType w:val="hybridMultilevel"/>
    <w:tmpl w:val="1AB0408C"/>
    <w:lvl w:ilvl="0" w:tplc="CB68DD36">
      <w:start w:val="1"/>
      <w:numFmt w:val="bullet"/>
      <w:lvlText w:val=""/>
      <w:lvlJc w:val="left"/>
      <w:pPr>
        <w:ind w:left="993" w:hanging="360"/>
      </w:pPr>
      <w:rPr>
        <w:rFonts w:ascii="Symbol" w:hAnsi="Symbol" w:hint="default"/>
      </w:rPr>
    </w:lvl>
    <w:lvl w:ilvl="1" w:tplc="08090001">
      <w:start w:val="1"/>
      <w:numFmt w:val="bullet"/>
      <w:lvlText w:val=""/>
      <w:lvlJc w:val="left"/>
      <w:pPr>
        <w:ind w:left="1713" w:hanging="360"/>
      </w:pPr>
      <w:rPr>
        <w:rFonts w:ascii="Symbol" w:hAnsi="Symbol"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3">
    <w:nsid w:val="19AD3FAA"/>
    <w:multiLevelType w:val="hybridMultilevel"/>
    <w:tmpl w:val="C082E00C"/>
    <w:lvl w:ilvl="0" w:tplc="CB68DD36">
      <w:start w:val="1"/>
      <w:numFmt w:val="bullet"/>
      <w:lvlText w:val=""/>
      <w:lvlJc w:val="left"/>
      <w:pPr>
        <w:ind w:left="1080" w:hanging="360"/>
      </w:pPr>
      <w:rPr>
        <w:rFonts w:ascii="Symbol" w:hAnsi="Symbol" w:hint="default"/>
      </w:rPr>
    </w:lvl>
    <w:lvl w:ilvl="1" w:tplc="D0D27DA6">
      <w:numFmt w:val="bullet"/>
      <w:lvlText w:val="-"/>
      <w:lvlJc w:val="left"/>
      <w:pPr>
        <w:ind w:left="1800" w:hanging="360"/>
      </w:pPr>
      <w:rPr>
        <w:rFonts w:ascii="Cambria" w:eastAsia="Calibri" w:hAnsi="Cambria"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96051"/>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1F71"/>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E52FB"/>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ea.europa.eu/themes/water/interactive/bathing/state-of-bathing-wat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nvironment/water/index_en.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eau.public.lu/actualites/2011/03/Profil_baignad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0.25</c:v>
                </c:pt>
                <c:pt idx="1">
                  <c:v>0.55000000000000004</c:v>
                </c:pt>
                <c:pt idx="2">
                  <c:v>0.55000000000000004</c:v>
                </c:pt>
                <c:pt idx="3">
                  <c:v>0.55000000000000004</c:v>
                </c:pt>
                <c:pt idx="4">
                  <c:v>0.55000000000000004</c:v>
                </c:pt>
                <c:pt idx="5">
                  <c:v>0.5</c:v>
                </c:pt>
                <c:pt idx="6">
                  <c:v>0.55000000000000004</c:v>
                </c:pt>
                <c:pt idx="7">
                  <c:v>0.55000000000000004</c:v>
                </c:pt>
                <c:pt idx="8">
                  <c:v>0.6</c:v>
                </c:pt>
                <c:pt idx="9">
                  <c:v>0.55000000000000004</c:v>
                </c:pt>
                <c:pt idx="10">
                  <c:v>0.55000000000000004</c:v>
                </c:pt>
                <c:pt idx="11">
                  <c:v>0.55000000000000004</c:v>
                </c:pt>
                <c:pt idx="12">
                  <c:v>0.4</c:v>
                </c:pt>
                <c:pt idx="13">
                  <c:v>0.5</c:v>
                </c:pt>
                <c:pt idx="14">
                  <c:v>0.35</c:v>
                </c:pt>
                <c:pt idx="15">
                  <c:v>0.5</c:v>
                </c:pt>
                <c:pt idx="16">
                  <c:v>0.45</c:v>
                </c:pt>
                <c:pt idx="17">
                  <c:v>0.5</c:v>
                </c:pt>
                <c:pt idx="18">
                  <c:v>0.55000000000000004</c:v>
                </c:pt>
                <c:pt idx="19">
                  <c:v>0.5</c:v>
                </c:pt>
                <c:pt idx="20">
                  <c:v>0.5</c:v>
                </c:pt>
                <c:pt idx="21">
                  <c:v>1</c:v>
                </c:pt>
                <c:pt idx="22">
                  <c:v>1</c:v>
                </c:pt>
                <c:pt idx="23">
                  <c:v>1</c:v>
                </c:pt>
                <c:pt idx="24">
                  <c:v>1</c:v>
                </c:pt>
                <c:pt idx="25">
                  <c:v>1</c:v>
                </c:pt>
                <c:pt idx="26">
                  <c:v>1</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0.5</c:v>
                </c:pt>
                <c:pt idx="1">
                  <c:v>0.75</c:v>
                </c:pt>
                <c:pt idx="2">
                  <c:v>0.8</c:v>
                </c:pt>
                <c:pt idx="3">
                  <c:v>0.85</c:v>
                </c:pt>
                <c:pt idx="4">
                  <c:v>0.85</c:v>
                </c:pt>
                <c:pt idx="5">
                  <c:v>0.85</c:v>
                </c:pt>
                <c:pt idx="6">
                  <c:v>0.85</c:v>
                </c:pt>
                <c:pt idx="7">
                  <c:v>0.85</c:v>
                </c:pt>
                <c:pt idx="8">
                  <c:v>0.85</c:v>
                </c:pt>
                <c:pt idx="9">
                  <c:v>0.85</c:v>
                </c:pt>
                <c:pt idx="10">
                  <c:v>0.85</c:v>
                </c:pt>
                <c:pt idx="11">
                  <c:v>0.85</c:v>
                </c:pt>
                <c:pt idx="12">
                  <c:v>0.8</c:v>
                </c:pt>
                <c:pt idx="13">
                  <c:v>0.65</c:v>
                </c:pt>
                <c:pt idx="14">
                  <c:v>0.65</c:v>
                </c:pt>
                <c:pt idx="15">
                  <c:v>0.8</c:v>
                </c:pt>
                <c:pt idx="16">
                  <c:v>0.85</c:v>
                </c:pt>
                <c:pt idx="17">
                  <c:v>1</c:v>
                </c:pt>
                <c:pt idx="18">
                  <c:v>0.55000000000000004</c:v>
                </c:pt>
                <c:pt idx="19">
                  <c:v>0.55000000000000004</c:v>
                </c:pt>
                <c:pt idx="20">
                  <c:v>0.55000000000000004</c:v>
                </c:pt>
                <c:pt idx="21">
                  <c:v>1</c:v>
                </c:pt>
                <c:pt idx="22">
                  <c:v>1</c:v>
                </c:pt>
                <c:pt idx="23">
                  <c:v>1</c:v>
                </c:pt>
                <c:pt idx="24">
                  <c:v>1</c:v>
                </c:pt>
                <c:pt idx="25">
                  <c:v>1</c:v>
                </c:pt>
                <c:pt idx="26">
                  <c:v>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0.2</c:v>
                </c:pt>
                <c:pt idx="1">
                  <c:v>0</c:v>
                </c:pt>
                <c:pt idx="2">
                  <c:v>0</c:v>
                </c:pt>
                <c:pt idx="3">
                  <c:v>0</c:v>
                </c:pt>
                <c:pt idx="4">
                  <c:v>0</c:v>
                </c:pt>
                <c:pt idx="5">
                  <c:v>0</c:v>
                </c:pt>
                <c:pt idx="6">
                  <c:v>0</c:v>
                </c:pt>
                <c:pt idx="7">
                  <c:v>0</c:v>
                </c:pt>
                <c:pt idx="8">
                  <c:v>0</c:v>
                </c:pt>
                <c:pt idx="9">
                  <c:v>0</c:v>
                </c:pt>
                <c:pt idx="10">
                  <c:v>0</c:v>
                </c:pt>
                <c:pt idx="11">
                  <c:v>0</c:v>
                </c:pt>
                <c:pt idx="12">
                  <c:v>0.05</c:v>
                </c:pt>
                <c:pt idx="13">
                  <c:v>0.2</c:v>
                </c:pt>
                <c:pt idx="14">
                  <c:v>0.2</c:v>
                </c:pt>
                <c:pt idx="15">
                  <c:v>0.05</c:v>
                </c:pt>
                <c:pt idx="16">
                  <c:v>0</c:v>
                </c:pt>
                <c:pt idx="17">
                  <c:v>0</c:v>
                </c:pt>
                <c:pt idx="18">
                  <c:v>0.45</c:v>
                </c:pt>
                <c:pt idx="19">
                  <c:v>0</c:v>
                </c:pt>
                <c:pt idx="20">
                  <c:v>0</c:v>
                </c:pt>
                <c:pt idx="21">
                  <c:v>0</c:v>
                </c:pt>
                <c:pt idx="22">
                  <c:v>0</c:v>
                </c:pt>
                <c:pt idx="23">
                  <c:v>0</c:v>
                </c:pt>
                <c:pt idx="24">
                  <c:v>0</c:v>
                </c:pt>
                <c:pt idx="25">
                  <c:v>0</c:v>
                </c:pt>
                <c:pt idx="26">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0.3</c:v>
                </c:pt>
                <c:pt idx="1">
                  <c:v>0.25</c:v>
                </c:pt>
                <c:pt idx="2">
                  <c:v>0.2</c:v>
                </c:pt>
                <c:pt idx="3">
                  <c:v>0.15</c:v>
                </c:pt>
                <c:pt idx="4">
                  <c:v>0.15</c:v>
                </c:pt>
                <c:pt idx="5">
                  <c:v>0.15</c:v>
                </c:pt>
                <c:pt idx="6">
                  <c:v>0.15</c:v>
                </c:pt>
                <c:pt idx="7">
                  <c:v>0.15</c:v>
                </c:pt>
                <c:pt idx="8">
                  <c:v>0.15</c:v>
                </c:pt>
                <c:pt idx="9">
                  <c:v>0.15</c:v>
                </c:pt>
                <c:pt idx="10">
                  <c:v>0.15</c:v>
                </c:pt>
                <c:pt idx="11">
                  <c:v>0.15</c:v>
                </c:pt>
                <c:pt idx="12">
                  <c:v>0.15</c:v>
                </c:pt>
                <c:pt idx="13">
                  <c:v>0.15</c:v>
                </c:pt>
                <c:pt idx="14">
                  <c:v>0.15</c:v>
                </c:pt>
                <c:pt idx="15">
                  <c:v>0.15</c:v>
                </c:pt>
                <c:pt idx="16">
                  <c:v>0.15</c:v>
                </c:pt>
                <c:pt idx="17">
                  <c:v>0</c:v>
                </c:pt>
                <c:pt idx="18">
                  <c:v>0</c:v>
                </c:pt>
                <c:pt idx="19">
                  <c:v>0.45</c:v>
                </c:pt>
                <c:pt idx="20">
                  <c:v>0.45</c:v>
                </c:pt>
                <c:pt idx="21">
                  <c:v>0</c:v>
                </c:pt>
                <c:pt idx="22">
                  <c:v>0</c:v>
                </c:pt>
                <c:pt idx="23">
                  <c:v>0</c:v>
                </c:pt>
                <c:pt idx="24">
                  <c:v>0</c:v>
                </c:pt>
                <c:pt idx="25">
                  <c:v>0</c:v>
                </c:pt>
                <c:pt idx="26">
                  <c:v>0</c:v>
                </c:pt>
              </c:numCache>
            </c:numRef>
          </c:val>
          <c:smooth val="0"/>
        </c:ser>
        <c:dLbls>
          <c:showLegendKey val="0"/>
          <c:showVal val="0"/>
          <c:showCatName val="0"/>
          <c:showSerName val="0"/>
          <c:showPercent val="0"/>
          <c:showBubbleSize val="0"/>
        </c:dLbls>
        <c:marker val="1"/>
        <c:smooth val="0"/>
        <c:axId val="165774464"/>
        <c:axId val="165776000"/>
      </c:lineChart>
      <c:catAx>
        <c:axId val="165774464"/>
        <c:scaling>
          <c:orientation val="minMax"/>
        </c:scaling>
        <c:delete val="0"/>
        <c:axPos val="b"/>
        <c:numFmt formatCode="@" sourceLinked="0"/>
        <c:majorTickMark val="out"/>
        <c:minorTickMark val="none"/>
        <c:tickLblPos val="nextTo"/>
        <c:crossAx val="165776000"/>
        <c:crosses val="autoZero"/>
        <c:auto val="1"/>
        <c:lblAlgn val="ctr"/>
        <c:lblOffset val="100"/>
        <c:noMultiLvlLbl val="0"/>
      </c:catAx>
      <c:valAx>
        <c:axId val="165776000"/>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65774464"/>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512CD-7EC7-4C0A-9D69-5553A8A9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3036</TotalTime>
  <Pages>7</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2018-04-25T15:51:00Z</dcterms:modified>
</cp:coreProperties>
</file>