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D9E" w:rsidRDefault="00D55D9E" w:rsidP="00ED3BDC"/>
    <w:p w:rsidR="00D55D9E" w:rsidRDefault="00E95009" w:rsidP="00B67D96">
      <w:pPr>
        <w:jc w:val="center"/>
        <w:rPr>
          <w:rFonts w:cs="Arial"/>
          <w:b/>
          <w:bCs/>
          <w:sz w:val="32"/>
        </w:rPr>
      </w:pPr>
      <w:r>
        <w:rPr>
          <w:b/>
          <w:sz w:val="32"/>
        </w:rPr>
        <w:t xml:space="preserve">BWD Report For the Bathing Season </w:t>
      </w:r>
      <w:r>
        <w:rPr>
          <w:rFonts w:cs="Arial"/>
          <w:b/>
          <w:bCs/>
          <w:sz w:val="32"/>
        </w:rPr>
        <w:t>2017</w:t>
      </w:r>
    </w:p>
    <w:p w:rsidR="00D55D9E" w:rsidRDefault="0079462E" w:rsidP="00B67D96">
      <w:pPr>
        <w:jc w:val="center"/>
        <w:rPr>
          <w:b/>
          <w:sz w:val="40"/>
        </w:rPr>
      </w:pPr>
      <w:r>
        <w:rPr>
          <w:b/>
          <w:sz w:val="40"/>
        </w:rPr>
        <w:t>Lithuania</w:t>
      </w:r>
    </w:p>
    <w:p w:rsidR="00D55D9E" w:rsidRDefault="00D55D9E" w:rsidP="00ED3BDC"/>
    <w:p w:rsidR="00D55D9E" w:rsidRDefault="00D55D9E" w:rsidP="00ED3BDC"/>
    <w:p w:rsidR="00D55D9E"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Lithuania.</w:t>
      </w:r>
    </w:p>
    <w:p w:rsidR="00D55D9E" w:rsidRDefault="00D55D9E" w:rsidP="00ED3BDC"/>
    <w:p w:rsidR="00D55D9E" w:rsidRDefault="00D55D9E" w:rsidP="00ED3BDC"/>
    <w:p w:rsidR="00D55D9E" w:rsidRDefault="0079462E" w:rsidP="00ED3BDC">
      <w:pPr>
        <w:pStyle w:val="Heading1"/>
      </w:pPr>
      <w:r>
        <w:t xml:space="preserve">BWD reporting in the season </w:t>
      </w:r>
      <w:r>
        <w:rPr>
          <w:szCs w:val="28"/>
        </w:rPr>
        <w:t>2017</w:t>
      </w:r>
    </w:p>
    <w:p w:rsidR="00D55D9E" w:rsidRDefault="00D55D9E" w:rsidP="00ED3BDC"/>
    <w:p w:rsidR="00D55D9E"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D55D9E" w:rsidRDefault="0079462E" w:rsidP="00442644">
                            <w:pPr>
                              <w:jc w:val="center"/>
                              <w:rPr>
                                <w:rFonts w:asciiTheme="minorHAnsi" w:hAnsiTheme="minorHAnsi"/>
                                <w:b/>
                              </w:rPr>
                            </w:pPr>
                            <w:r>
                              <w:rPr>
                                <w:rFonts w:asciiTheme="minorHAnsi" w:hAnsiTheme="minorHAnsi"/>
                                <w:b/>
                              </w:rPr>
                              <w:t>Bathing waters of Lithuania in 2017</w:t>
                            </w:r>
                          </w:p>
                          <w:p w:rsidR="00D55D9E" w:rsidRDefault="00D55D9E" w:rsidP="00ED3BDC">
                            <w:pPr>
                              <w:rPr>
                                <w:rFonts w:asciiTheme="minorHAnsi" w:hAnsiTheme="minorHAnsi"/>
                                <w:sz w:val="20"/>
                              </w:rPr>
                            </w:pPr>
                          </w:p>
                          <w:p w:rsidR="00D55D9E"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114</w:t>
                            </w:r>
                          </w:p>
                          <w:p w:rsidR="00D55D9E"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16</w:t>
                            </w:r>
                          </w:p>
                          <w:p w:rsidR="00D55D9E"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98</w:t>
                            </w:r>
                          </w:p>
                          <w:p w:rsidR="00D55D9E" w:rsidRDefault="00D55D9E" w:rsidP="00DB3D3B">
                            <w:pPr>
                              <w:tabs>
                                <w:tab w:val="right" w:pos="3544"/>
                              </w:tabs>
                              <w:rPr>
                                <w:rFonts w:asciiTheme="minorHAnsi" w:hAnsiTheme="minorHAnsi"/>
                                <w:sz w:val="20"/>
                              </w:rPr>
                            </w:pPr>
                          </w:p>
                          <w:p w:rsidR="00D55D9E" w:rsidRDefault="006E1479"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107 </w:t>
                            </w:r>
                            <w:r w:rsidR="008A3C2A">
                              <w:rPr>
                                <w:rFonts w:asciiTheme="minorHAnsi" w:hAnsiTheme="minorHAnsi"/>
                                <w:b/>
                                <w:sz w:val="20"/>
                              </w:rPr>
                              <w:t>days</w:t>
                            </w:r>
                          </w:p>
                          <w:p w:rsidR="00D55D9E" w:rsidRDefault="0079462E" w:rsidP="00DB3D3B">
                            <w:pPr>
                              <w:tabs>
                                <w:tab w:val="right" w:pos="3544"/>
                              </w:tabs>
                              <w:rPr>
                                <w:rFonts w:asciiTheme="minorHAnsi" w:hAnsiTheme="minorHAnsi"/>
                                <w:sz w:val="20"/>
                              </w:rPr>
                            </w:pPr>
                            <w:r>
                              <w:rPr>
                                <w:rFonts w:asciiTheme="minorHAnsi" w:hAnsiTheme="minorHAnsi"/>
                                <w:sz w:val="20"/>
                              </w:rPr>
                              <w:tab/>
                              <w:t>1 Jun to 15 Sep</w:t>
                            </w:r>
                          </w:p>
                          <w:p w:rsidR="00D55D9E" w:rsidRDefault="00D55D9E" w:rsidP="00ED3BDC">
                            <w:pPr>
                              <w:rPr>
                                <w:rFonts w:asciiTheme="minorHAnsi" w:hAnsiTheme="minorHAnsi"/>
                                <w:sz w:val="20"/>
                              </w:rPr>
                            </w:pPr>
                          </w:p>
                          <w:p w:rsidR="00D55D9E"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948</w:t>
                            </w:r>
                          </w:p>
                          <w:p w:rsidR="00D55D9E" w:rsidRDefault="00D55D9E" w:rsidP="00ED3BDC">
                            <w:pPr>
                              <w:rPr>
                                <w:rFonts w:asciiTheme="minorHAnsi" w:hAnsiTheme="minorHAnsi"/>
                                <w:sz w:val="20"/>
                              </w:rPr>
                            </w:pPr>
                          </w:p>
                          <w:p w:rsidR="00D55D9E"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96 %</w:t>
                            </w:r>
                          </w:p>
                          <w:p w:rsidR="00D55D9E" w:rsidRDefault="0079462E" w:rsidP="00ED3BDC">
                            <w:pPr>
                              <w:rPr>
                                <w:rFonts w:asciiTheme="minorHAnsi" w:hAnsiTheme="minorHAnsi"/>
                                <w:b/>
                                <w:sz w:val="20"/>
                              </w:rPr>
                            </w:pPr>
                            <w:r>
                              <w:rPr>
                                <w:rFonts w:asciiTheme="minorHAnsi" w:hAnsiTheme="minorHAnsi"/>
                                <w:b/>
                                <w:sz w:val="20"/>
                              </w:rPr>
                              <w:t xml:space="preserve">with good or excellent </w:t>
                            </w:r>
                          </w:p>
                          <w:p w:rsidR="00D55D9E" w:rsidRDefault="0079462E" w:rsidP="00ED3BDC">
                            <w:pPr>
                              <w:rPr>
                                <w:rFonts w:asciiTheme="minorHAnsi" w:hAnsiTheme="minorHAnsi"/>
                                <w:b/>
                                <w:sz w:val="20"/>
                              </w:rPr>
                            </w:pPr>
                            <w:r>
                              <w:rPr>
                                <w:rFonts w:asciiTheme="minorHAnsi" w:hAnsiTheme="minorHAnsi"/>
                                <w:b/>
                                <w:sz w:val="20"/>
                              </w:rPr>
                              <w:t>water quality</w:t>
                            </w:r>
                          </w:p>
                          <w:p w:rsidR="00D55D9E" w:rsidRDefault="00D55D9E" w:rsidP="00ED3BDC">
                            <w:pPr>
                              <w:rPr>
                                <w:rFonts w:asciiTheme="minorHAnsi" w:hAnsiTheme="minorHAnsi"/>
                                <w:sz w:val="20"/>
                              </w:rPr>
                            </w:pPr>
                          </w:p>
                          <w:p w:rsidR="00D55D9E"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D55D9E"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D55D9E" w:rsidRDefault="0079462E" w:rsidP="00442644">
                      <w:pPr>
                        <w:jc w:val="center"/>
                        <w:rPr>
                          <w:rFonts w:asciiTheme="minorHAnsi" w:hAnsiTheme="minorHAnsi"/>
                          <w:b/>
                        </w:rPr>
                      </w:pPr>
                      <w:r>
                        <w:rPr>
                          <w:rFonts w:asciiTheme="minorHAnsi" w:hAnsiTheme="minorHAnsi"/>
                          <w:b/>
                        </w:rPr>
                        <w:t>Bathing waters of Lithuania in 2017</w:t>
                      </w:r>
                    </w:p>
                    <w:p w:rsidR="00D55D9E" w:rsidRDefault="00D55D9E" w:rsidP="00ED3BDC">
                      <w:pPr>
                        <w:rPr>
                          <w:rFonts w:asciiTheme="minorHAnsi" w:hAnsiTheme="minorHAnsi"/>
                          <w:sz w:val="20"/>
                        </w:rPr>
                      </w:pPr>
                    </w:p>
                    <w:p w:rsidR="00D55D9E"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114</w:t>
                      </w:r>
                    </w:p>
                    <w:p w:rsidR="00D55D9E"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16</w:t>
                      </w:r>
                    </w:p>
                    <w:p w:rsidR="00D55D9E"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98</w:t>
                      </w:r>
                    </w:p>
                    <w:p w:rsidR="00D55D9E" w:rsidRDefault="00D55D9E" w:rsidP="00DB3D3B">
                      <w:pPr>
                        <w:tabs>
                          <w:tab w:val="right" w:pos="3544"/>
                        </w:tabs>
                        <w:rPr>
                          <w:rFonts w:asciiTheme="minorHAnsi" w:hAnsiTheme="minorHAnsi"/>
                          <w:sz w:val="20"/>
                        </w:rPr>
                      </w:pPr>
                    </w:p>
                    <w:p w:rsidR="00D55D9E" w:rsidRDefault="006E1479"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107 </w:t>
                      </w:r>
                      <w:r w:rsidR="008A3C2A">
                        <w:rPr>
                          <w:rFonts w:asciiTheme="minorHAnsi" w:hAnsiTheme="minorHAnsi"/>
                          <w:b/>
                          <w:sz w:val="20"/>
                        </w:rPr>
                        <w:t>days</w:t>
                      </w:r>
                    </w:p>
                    <w:p w:rsidR="00D55D9E" w:rsidRDefault="0079462E" w:rsidP="00DB3D3B">
                      <w:pPr>
                        <w:tabs>
                          <w:tab w:val="right" w:pos="3544"/>
                        </w:tabs>
                        <w:rPr>
                          <w:rFonts w:asciiTheme="minorHAnsi" w:hAnsiTheme="minorHAnsi"/>
                          <w:sz w:val="20"/>
                        </w:rPr>
                      </w:pPr>
                      <w:r>
                        <w:rPr>
                          <w:rFonts w:asciiTheme="minorHAnsi" w:hAnsiTheme="minorHAnsi"/>
                          <w:sz w:val="20"/>
                        </w:rPr>
                        <w:tab/>
                        <w:t>1 Jun to 15 Sep</w:t>
                      </w:r>
                    </w:p>
                    <w:p w:rsidR="00D55D9E" w:rsidRDefault="00D55D9E" w:rsidP="00ED3BDC">
                      <w:pPr>
                        <w:rPr>
                          <w:rFonts w:asciiTheme="minorHAnsi" w:hAnsiTheme="minorHAnsi"/>
                          <w:sz w:val="20"/>
                        </w:rPr>
                      </w:pPr>
                    </w:p>
                    <w:p w:rsidR="00D55D9E"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948</w:t>
                      </w:r>
                    </w:p>
                    <w:p w:rsidR="00D55D9E" w:rsidRDefault="00D55D9E" w:rsidP="00ED3BDC">
                      <w:pPr>
                        <w:rPr>
                          <w:rFonts w:asciiTheme="minorHAnsi" w:hAnsiTheme="minorHAnsi"/>
                          <w:sz w:val="20"/>
                        </w:rPr>
                      </w:pPr>
                    </w:p>
                    <w:p w:rsidR="00D55D9E"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96 %</w:t>
                      </w:r>
                    </w:p>
                    <w:p w:rsidR="00D55D9E" w:rsidRDefault="0079462E" w:rsidP="00ED3BDC">
                      <w:pPr>
                        <w:rPr>
                          <w:rFonts w:asciiTheme="minorHAnsi" w:hAnsiTheme="minorHAnsi"/>
                          <w:b/>
                          <w:sz w:val="20"/>
                        </w:rPr>
                      </w:pPr>
                      <w:r>
                        <w:rPr>
                          <w:rFonts w:asciiTheme="minorHAnsi" w:hAnsiTheme="minorHAnsi"/>
                          <w:b/>
                          <w:sz w:val="20"/>
                        </w:rPr>
                        <w:t xml:space="preserve">with good or excellent </w:t>
                      </w:r>
                    </w:p>
                    <w:p w:rsidR="00D55D9E" w:rsidRDefault="0079462E" w:rsidP="00ED3BDC">
                      <w:pPr>
                        <w:rPr>
                          <w:rFonts w:asciiTheme="minorHAnsi" w:hAnsiTheme="minorHAnsi"/>
                          <w:b/>
                          <w:sz w:val="20"/>
                        </w:rPr>
                      </w:pPr>
                      <w:r>
                        <w:rPr>
                          <w:rFonts w:asciiTheme="minorHAnsi" w:hAnsiTheme="minorHAnsi"/>
                          <w:b/>
                          <w:sz w:val="20"/>
                        </w:rPr>
                        <w:t>water quality</w:t>
                      </w:r>
                    </w:p>
                    <w:p w:rsidR="00D55D9E" w:rsidRDefault="00D55D9E" w:rsidP="00ED3BDC">
                      <w:pPr>
                        <w:rPr>
                          <w:rFonts w:asciiTheme="minorHAnsi" w:hAnsiTheme="minorHAnsi"/>
                          <w:sz w:val="20"/>
                        </w:rPr>
                      </w:pPr>
                    </w:p>
                    <w:p w:rsidR="00D55D9E"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D55D9E"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114 bathing waters have been reported in Lithuania. For each bathing water, five groups of parameters have been delivered</w:t>
      </w:r>
      <w:r>
        <w:rPr>
          <w:rStyle w:val="FootnoteReference"/>
        </w:rPr>
        <w:footnoteReference w:id="3"/>
      </w:r>
      <w:r>
        <w:t>:</w:t>
      </w:r>
    </w:p>
    <w:p w:rsidR="00D55D9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D55D9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D55D9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D55D9E"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D55D9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D55D9E" w:rsidRDefault="00D55D9E" w:rsidP="00ED3BDC"/>
    <w:p w:rsidR="00D55D9E" w:rsidRDefault="0079462E" w:rsidP="00ED3BDC">
      <w:r>
        <w:t xml:space="preserve">The authorities of </w:t>
      </w:r>
      <w:r>
        <w:rPr>
          <w:rFonts w:ascii="Cambria" w:hAnsi="Cambria"/>
        </w:rPr>
        <w:t>Lithuania</w:t>
      </w:r>
      <w:r>
        <w:t xml:space="preserve"> report data according to the new BWD (2006/7/EC) since the season </w:t>
      </w:r>
      <w:r>
        <w:rPr>
          <w:rFonts w:ascii="Cambria" w:hAnsi="Cambria"/>
        </w:rPr>
        <w:t>2008</w:t>
      </w:r>
      <w:r>
        <w:t>.</w:t>
      </w:r>
    </w:p>
    <w:p w:rsidR="00D55D9E" w:rsidRDefault="00D55D9E" w:rsidP="00ED3BDC"/>
    <w:p w:rsidR="00D55D9E" w:rsidRDefault="0079462E" w:rsidP="00ED3BDC">
      <w:r>
        <w:t xml:space="preserve">Altogether, </w:t>
      </w:r>
      <w:r>
        <w:rPr>
          <w:rFonts w:ascii="Cambria" w:hAnsi="Cambria"/>
          <w:b/>
        </w:rPr>
        <w:t>114</w:t>
      </w:r>
      <w:r>
        <w:rPr>
          <w:rFonts w:ascii="Cambria" w:hAnsi="Cambria"/>
        </w:rPr>
        <w:t xml:space="preserve"> </w:t>
      </w:r>
      <w:r>
        <w:rPr>
          <w:b/>
        </w:rPr>
        <w:t xml:space="preserve">bathing waters </w:t>
      </w:r>
      <w:r>
        <w:t xml:space="preserve">have been reported – 0.5% of all bathing waters in Europe. </w:t>
      </w:r>
      <w:r w:rsidR="006E1479">
        <w:t>No</w:t>
      </w:r>
      <w:r>
        <w:t xml:space="preserve"> bathing waters have been newly reported in the recent season. 14% of bathing waters in Lithuania are of coastal type; the other 86% are inland. </w:t>
      </w:r>
      <w:r>
        <w:rPr>
          <w:b/>
        </w:rPr>
        <w:t>948 samples</w:t>
      </w:r>
      <w:r>
        <w:t xml:space="preserve"> were taken at bathing waters throughout the season – 8 per bathing water on average.</w:t>
      </w:r>
    </w:p>
    <w:p w:rsidR="00D55D9E" w:rsidRDefault="00D55D9E" w:rsidP="00ED3BDC"/>
    <w:p w:rsidR="006E1479" w:rsidRDefault="002B438D" w:rsidP="00ED3BDC">
      <w:r>
        <w:lastRenderedPageBreak/>
        <w:t>The bathing season period was from 1 June to 15 September for coastal bathing wa</w:t>
      </w:r>
      <w:r w:rsidR="006E1479">
        <w:t>ters, i.e. 107 days altogether.</w:t>
      </w:r>
    </w:p>
    <w:p w:rsidR="00D55D9E" w:rsidRDefault="00D55D9E" w:rsidP="00ED3BDC"/>
    <w:p w:rsidR="00D55D9E" w:rsidRDefault="002B438D" w:rsidP="00ED3BDC">
      <w:r>
        <w:t xml:space="preserve">Detailed information on bathing waters is available from national portal at </w:t>
      </w:r>
      <w:hyperlink r:id="rId9" w:history="1">
        <w:r w:rsidR="006E1479" w:rsidRPr="003F4ABB">
          <w:rPr>
            <w:rStyle w:val="Hyperlink"/>
          </w:rPr>
          <w:t>http://www.smlpc.lt/lt/aplinkos_sveikata/maudyklos</w:t>
        </w:r>
      </w:hyperlink>
      <w:r>
        <w:t>.</w:t>
      </w:r>
    </w:p>
    <w:p w:rsidR="00D55D9E" w:rsidRDefault="00D55D9E" w:rsidP="00ED3BDC"/>
    <w:p w:rsidR="00D55D9E" w:rsidRDefault="00D55D9E" w:rsidP="00ED3BDC"/>
    <w:p w:rsidR="00D55D9E" w:rsidRDefault="002B438D" w:rsidP="00ED3BDC">
      <w:pPr>
        <w:pStyle w:val="Heading1"/>
      </w:pPr>
      <w:r>
        <w:t>Assessment methodology</w:t>
      </w:r>
      <w:r>
        <w:rPr>
          <w:rStyle w:val="FootnoteReference"/>
        </w:rPr>
        <w:footnoteReference w:id="4"/>
      </w:r>
    </w:p>
    <w:p w:rsidR="00D55D9E" w:rsidRDefault="00D55D9E" w:rsidP="00ED3BDC"/>
    <w:p w:rsidR="00D55D9E"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D55D9E" w:rsidRDefault="00D55D9E" w:rsidP="00ED3BDC"/>
    <w:p w:rsidR="00D55D9E" w:rsidRDefault="003F038E" w:rsidP="00ED3BDC">
      <w:r>
        <w:t>The monitoring requirements under the Directive are:</w:t>
      </w:r>
    </w:p>
    <w:p w:rsidR="00D55D9E"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D55D9E"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D55D9E"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D55D9E" w:rsidRDefault="00D55D9E" w:rsidP="00ED3BDC"/>
    <w:p w:rsidR="00D55D9E" w:rsidRDefault="003F038E" w:rsidP="003F038E">
      <w:r>
        <w:t xml:space="preserve">If these rules are satisfied, the bathing water is categorised as 'sampling frequency satisfied'. If not all monitoring requirements are fulfilled the bathing water is categorised as 'not enough samples'. 93.9%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D55D9E" w:rsidRDefault="00D55D9E" w:rsidP="00ED3BDC"/>
    <w:p w:rsidR="00D55D9E"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D55D9E" w:rsidTr="00484359">
        <w:trPr>
          <w:trHeight w:val="343"/>
        </w:trPr>
        <w:tc>
          <w:tcPr>
            <w:tcW w:w="6379" w:type="dxa"/>
            <w:shd w:val="clear" w:color="auto" w:fill="F2F2F2" w:themeFill="background1" w:themeFillShade="F2"/>
            <w:vAlign w:val="center"/>
          </w:tcPr>
          <w:p w:rsidR="00D55D9E" w:rsidRDefault="00D55D9E" w:rsidP="00484359">
            <w:pPr>
              <w:jc w:val="left"/>
              <w:rPr>
                <w:rFonts w:asciiTheme="minorHAnsi" w:hAnsiTheme="minorHAnsi"/>
                <w:b/>
                <w:sz w:val="20"/>
              </w:rPr>
            </w:pPr>
          </w:p>
        </w:tc>
        <w:tc>
          <w:tcPr>
            <w:tcW w:w="1701" w:type="dxa"/>
            <w:shd w:val="clear" w:color="auto" w:fill="F2F2F2" w:themeFill="background1" w:themeFillShade="F2"/>
            <w:vAlign w:val="center"/>
          </w:tcPr>
          <w:p w:rsidR="00D55D9E"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D55D9E" w:rsidRDefault="00484359" w:rsidP="00484359">
            <w:pPr>
              <w:jc w:val="left"/>
              <w:rPr>
                <w:rFonts w:asciiTheme="minorHAnsi" w:hAnsiTheme="minorHAnsi"/>
                <w:b/>
                <w:sz w:val="20"/>
              </w:rPr>
            </w:pPr>
            <w:r>
              <w:rPr>
                <w:rFonts w:asciiTheme="minorHAnsi" w:hAnsiTheme="minorHAnsi"/>
                <w:b/>
                <w:sz w:val="20"/>
              </w:rPr>
              <w:t>Share of total [%]</w:t>
            </w:r>
          </w:p>
        </w:tc>
      </w:tr>
      <w:tr w:rsidR="00D55D9E" w:rsidTr="00484359">
        <w:tc>
          <w:tcPr>
            <w:tcW w:w="6379" w:type="dxa"/>
          </w:tcPr>
          <w:p w:rsidR="00D55D9E"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D55D9E"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D55D9E" w:rsidRDefault="006D2330" w:rsidP="00B14C10">
            <w:pPr>
              <w:jc w:val="right"/>
              <w:rPr>
                <w:rFonts w:asciiTheme="minorHAnsi" w:hAnsiTheme="minorHAnsi"/>
                <w:sz w:val="20"/>
              </w:rPr>
            </w:pPr>
            <w:r>
              <w:rPr>
                <w:rFonts w:asciiTheme="minorHAnsi" w:hAnsiTheme="minorHAnsi"/>
                <w:sz w:val="20"/>
              </w:rPr>
              <w:t>107</w:t>
            </w:r>
          </w:p>
        </w:tc>
        <w:tc>
          <w:tcPr>
            <w:tcW w:w="1701" w:type="dxa"/>
            <w:vAlign w:val="center"/>
          </w:tcPr>
          <w:p w:rsidR="00D55D9E" w:rsidRDefault="004D61EC" w:rsidP="00B14C10">
            <w:pPr>
              <w:jc w:val="right"/>
              <w:rPr>
                <w:rFonts w:asciiTheme="minorHAnsi" w:hAnsiTheme="minorHAnsi"/>
                <w:b/>
                <w:sz w:val="20"/>
              </w:rPr>
            </w:pPr>
            <w:r>
              <w:rPr>
                <w:rFonts w:asciiTheme="minorHAnsi" w:hAnsiTheme="minorHAnsi"/>
                <w:sz w:val="20"/>
              </w:rPr>
              <w:t>93.9%</w:t>
            </w:r>
          </w:p>
        </w:tc>
      </w:tr>
      <w:tr w:rsidR="00D55D9E" w:rsidTr="00484359">
        <w:tc>
          <w:tcPr>
            <w:tcW w:w="6379" w:type="dxa"/>
          </w:tcPr>
          <w:p w:rsidR="00D55D9E"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D55D9E"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D55D9E" w:rsidRDefault="006710BD" w:rsidP="00B14C10">
            <w:pPr>
              <w:jc w:val="right"/>
              <w:rPr>
                <w:rFonts w:asciiTheme="minorHAnsi" w:hAnsiTheme="minorHAnsi"/>
                <w:b/>
                <w:sz w:val="20"/>
              </w:rPr>
            </w:pPr>
            <w:r>
              <w:rPr>
                <w:rFonts w:asciiTheme="minorHAnsi" w:hAnsiTheme="minorHAnsi"/>
                <w:sz w:val="20"/>
              </w:rPr>
              <w:t>5</w:t>
            </w:r>
          </w:p>
        </w:tc>
        <w:tc>
          <w:tcPr>
            <w:tcW w:w="1701" w:type="dxa"/>
            <w:vAlign w:val="center"/>
          </w:tcPr>
          <w:p w:rsidR="00D55D9E" w:rsidRDefault="004D61EC" w:rsidP="00484359">
            <w:pPr>
              <w:jc w:val="right"/>
              <w:rPr>
                <w:rFonts w:asciiTheme="minorHAnsi" w:hAnsiTheme="minorHAnsi"/>
                <w:b/>
                <w:sz w:val="20"/>
              </w:rPr>
            </w:pPr>
            <w:r>
              <w:rPr>
                <w:rFonts w:asciiTheme="minorHAnsi" w:hAnsiTheme="minorHAnsi"/>
                <w:sz w:val="20"/>
              </w:rPr>
              <w:t>4.4%</w:t>
            </w:r>
          </w:p>
        </w:tc>
      </w:tr>
      <w:tr w:rsidR="00D55D9E" w:rsidTr="00484359">
        <w:tc>
          <w:tcPr>
            <w:tcW w:w="6379" w:type="dxa"/>
          </w:tcPr>
          <w:p w:rsidR="00D55D9E"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D55D9E"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D55D9E" w:rsidRDefault="006710BD" w:rsidP="00B14C10">
            <w:pPr>
              <w:jc w:val="right"/>
              <w:rPr>
                <w:rFonts w:asciiTheme="minorHAnsi" w:hAnsiTheme="minorHAnsi"/>
                <w:b/>
                <w:sz w:val="20"/>
              </w:rPr>
            </w:pPr>
            <w:r>
              <w:rPr>
                <w:rFonts w:asciiTheme="minorHAnsi" w:hAnsiTheme="minorHAnsi"/>
                <w:sz w:val="20"/>
              </w:rPr>
              <w:t>2</w:t>
            </w:r>
          </w:p>
        </w:tc>
        <w:tc>
          <w:tcPr>
            <w:tcW w:w="1701" w:type="dxa"/>
            <w:vAlign w:val="center"/>
          </w:tcPr>
          <w:p w:rsidR="00D55D9E" w:rsidRDefault="004D61EC" w:rsidP="00B14C10">
            <w:pPr>
              <w:jc w:val="right"/>
              <w:rPr>
                <w:rFonts w:asciiTheme="minorHAnsi" w:hAnsiTheme="minorHAnsi"/>
                <w:b/>
                <w:sz w:val="20"/>
              </w:rPr>
            </w:pPr>
            <w:r>
              <w:rPr>
                <w:rFonts w:asciiTheme="minorHAnsi" w:hAnsiTheme="minorHAnsi"/>
                <w:sz w:val="20"/>
              </w:rPr>
              <w:t>1.8%</w:t>
            </w:r>
          </w:p>
        </w:tc>
      </w:tr>
      <w:tr w:rsidR="00D55D9E" w:rsidTr="00484359">
        <w:trPr>
          <w:trHeight w:val="323"/>
        </w:trPr>
        <w:tc>
          <w:tcPr>
            <w:tcW w:w="6379" w:type="dxa"/>
            <w:shd w:val="clear" w:color="auto" w:fill="F2F2F2" w:themeFill="background1" w:themeFillShade="F2"/>
            <w:vAlign w:val="center"/>
          </w:tcPr>
          <w:p w:rsidR="00D55D9E"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D55D9E" w:rsidRDefault="00993FEC" w:rsidP="00484359">
            <w:pPr>
              <w:jc w:val="right"/>
              <w:rPr>
                <w:rFonts w:asciiTheme="minorHAnsi" w:hAnsiTheme="minorHAnsi"/>
                <w:b/>
                <w:sz w:val="20"/>
              </w:rPr>
            </w:pPr>
            <w:r>
              <w:rPr>
                <w:rFonts w:asciiTheme="minorHAnsi" w:hAnsiTheme="minorHAnsi"/>
                <w:b/>
                <w:sz w:val="20"/>
              </w:rPr>
              <w:t>114</w:t>
            </w:r>
          </w:p>
        </w:tc>
        <w:tc>
          <w:tcPr>
            <w:tcW w:w="1701" w:type="dxa"/>
            <w:shd w:val="clear" w:color="auto" w:fill="F2F2F2" w:themeFill="background1" w:themeFillShade="F2"/>
            <w:vAlign w:val="center"/>
          </w:tcPr>
          <w:p w:rsidR="00D55D9E" w:rsidRDefault="004943BD" w:rsidP="004943BD">
            <w:pPr>
              <w:jc w:val="right"/>
              <w:rPr>
                <w:rFonts w:asciiTheme="minorHAnsi" w:hAnsiTheme="minorHAnsi"/>
                <w:b/>
                <w:sz w:val="20"/>
              </w:rPr>
            </w:pPr>
            <w:r>
              <w:rPr>
                <w:rFonts w:asciiTheme="minorHAnsi" w:hAnsiTheme="minorHAnsi"/>
                <w:b/>
                <w:sz w:val="20"/>
              </w:rPr>
              <w:t>100%</w:t>
            </w:r>
          </w:p>
        </w:tc>
      </w:tr>
    </w:tbl>
    <w:p w:rsidR="00D55D9E" w:rsidRDefault="00D55D9E" w:rsidP="00ED3BDC"/>
    <w:p w:rsidR="00D55D9E"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D55D9E" w:rsidRDefault="00D55D9E" w:rsidP="00ED3BDC"/>
    <w:p w:rsidR="00D55D9E"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D55D9E" w:rsidRDefault="00D55D9E" w:rsidP="00ED3BDC"/>
    <w:p w:rsidR="00D55D9E" w:rsidRDefault="002F24A6" w:rsidP="002F24A6">
      <w:r>
        <w:t>Quality assessment is not possible for all bathing waters. In these cases, they are instead classified as either:</w:t>
      </w:r>
    </w:p>
    <w:p w:rsidR="00D55D9E" w:rsidRDefault="002F24A6" w:rsidP="002F24A6">
      <w:pPr>
        <w:ind w:firstLine="284"/>
      </w:pPr>
      <w:r>
        <w:t>• not enough samples</w:t>
      </w:r>
      <w:r>
        <w:rPr>
          <w:rStyle w:val="FootnoteReference"/>
        </w:rPr>
        <w:footnoteReference w:id="8"/>
      </w:r>
      <w:r>
        <w:t>;</w:t>
      </w:r>
    </w:p>
    <w:p w:rsidR="00D55D9E" w:rsidRDefault="002F24A6" w:rsidP="002F24A6">
      <w:pPr>
        <w:ind w:firstLine="284"/>
      </w:pPr>
      <w:r>
        <w:t>• new</w:t>
      </w:r>
      <w:r>
        <w:rPr>
          <w:rStyle w:val="FootnoteReference"/>
        </w:rPr>
        <w:footnoteReference w:id="9"/>
      </w:r>
      <w:r>
        <w:t>;</w:t>
      </w:r>
    </w:p>
    <w:p w:rsidR="00D55D9E" w:rsidRDefault="00783E42" w:rsidP="00783E42">
      <w:pPr>
        <w:ind w:firstLine="284"/>
      </w:pPr>
      <w:r>
        <w:t>• changes</w:t>
      </w:r>
      <w:r>
        <w:rPr>
          <w:rStyle w:val="FootnoteReference"/>
        </w:rPr>
        <w:footnoteReference w:id="10"/>
      </w:r>
      <w:r>
        <w:t>;</w:t>
      </w:r>
    </w:p>
    <w:p w:rsidR="00D55D9E" w:rsidRDefault="00783E42" w:rsidP="00783E42">
      <w:pPr>
        <w:ind w:firstLine="284"/>
      </w:pPr>
      <w:r>
        <w:t>• closed</w:t>
      </w:r>
      <w:r>
        <w:rPr>
          <w:rStyle w:val="FootnoteReference"/>
        </w:rPr>
        <w:footnoteReference w:id="11"/>
      </w:r>
      <w:r>
        <w:t>.</w:t>
      </w:r>
    </w:p>
    <w:p w:rsidR="00D55D9E" w:rsidRDefault="00D55D9E" w:rsidP="00AF3F74"/>
    <w:p w:rsidR="00D55D9E" w:rsidRDefault="00D55D9E" w:rsidP="00ED3BDC"/>
    <w:p w:rsidR="00D55D9E" w:rsidRDefault="002B438D" w:rsidP="00ED3BDC">
      <w:pPr>
        <w:pStyle w:val="Heading1"/>
      </w:pPr>
      <w:r>
        <w:t>Bathing water quality</w:t>
      </w:r>
    </w:p>
    <w:p w:rsidR="00D55D9E" w:rsidRDefault="00D55D9E" w:rsidP="00ED3BDC"/>
    <w:p w:rsidR="00D55D9E" w:rsidRDefault="002B438D" w:rsidP="00ED3BDC">
      <w:r>
        <w:t>The results of the bathing water quality in Lithuania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D55D9E" w:rsidRDefault="00D55D9E" w:rsidP="00ED3BDC"/>
    <w:p w:rsidR="006E1479" w:rsidRDefault="006E1479" w:rsidP="00ED3BDC"/>
    <w:p w:rsidR="006E1479" w:rsidRDefault="006E1479" w:rsidP="00ED3BDC"/>
    <w:p w:rsidR="006E1479" w:rsidRDefault="006E1479" w:rsidP="00ED3BDC"/>
    <w:p w:rsidR="006E1479" w:rsidRDefault="006E1479" w:rsidP="00ED3BDC"/>
    <w:p w:rsidR="006E1479" w:rsidRDefault="006E1479" w:rsidP="00ED3BDC"/>
    <w:p w:rsidR="006E1479" w:rsidRDefault="006E1479" w:rsidP="00ED3BDC"/>
    <w:p w:rsidR="00D55D9E" w:rsidRDefault="002B438D" w:rsidP="00ED3BDC">
      <w:pPr>
        <w:pStyle w:val="Heading2"/>
      </w:pPr>
      <w:r>
        <w:lastRenderedPageBreak/>
        <w:t>Coastal bathing waters</w:t>
      </w:r>
    </w:p>
    <w:p w:rsidR="00D55D9E" w:rsidRDefault="00D55D9E" w:rsidP="00ED3BDC"/>
    <w:p w:rsidR="00D55D9E" w:rsidRDefault="002B438D" w:rsidP="00ED3BDC">
      <w:r>
        <w:t xml:space="preserve">In Lithuania, all existing coastal bathing waters met at least sufficient water quality standards in 2017. See Appendix 1 for numeric data. </w:t>
      </w:r>
    </w:p>
    <w:p w:rsidR="00D55D9E" w:rsidRDefault="00D55D9E" w:rsidP="00ED3BDC"/>
    <w:p w:rsidR="00D55D9E"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5D9E"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Lithuania. </w:t>
      </w:r>
      <w:r>
        <w:rPr>
          <w:b w:val="0"/>
        </w:rPr>
        <w:t>Note: the “At least sufficient” class also includes bathing waters of “Excellent” quality class, the sum of shares is therefore not 100%.</w:t>
      </w:r>
      <w:r>
        <w:t xml:space="preserve"> </w:t>
      </w:r>
    </w:p>
    <w:p w:rsidR="00D55D9E" w:rsidRDefault="00D55D9E" w:rsidP="00ED3BDC"/>
    <w:p w:rsidR="00D55D9E" w:rsidRDefault="00D55D9E" w:rsidP="00ED3BDC"/>
    <w:p w:rsidR="00D55D9E" w:rsidRDefault="002B438D" w:rsidP="00ED3BDC">
      <w:pPr>
        <w:pStyle w:val="Heading2"/>
      </w:pPr>
      <w:r>
        <w:t>Inland bathing waters</w:t>
      </w:r>
    </w:p>
    <w:p w:rsidR="00D55D9E" w:rsidRDefault="00D55D9E" w:rsidP="00ED3BDC"/>
    <w:p w:rsidR="00D55D9E" w:rsidRDefault="007C239B" w:rsidP="002318DD">
      <w:r>
        <w:t>95.9% of all existing inland bathing waters were of at least sufficient water quality in 2017. See Appendix 1 for numeric data.</w:t>
      </w:r>
      <w:bookmarkStart w:id="1" w:name="OLE_LINK19"/>
      <w:bookmarkStart w:id="2" w:name="OLE_LINK20"/>
      <w:r>
        <w:t xml:space="preserve"> </w:t>
      </w:r>
    </w:p>
    <w:p w:rsidR="00D55D9E" w:rsidRDefault="00D55D9E" w:rsidP="002318DD"/>
    <w:p w:rsidR="00D55D9E"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D55D9E"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Lithuania. </w:t>
      </w:r>
      <w:r>
        <w:rPr>
          <w:b w:val="0"/>
        </w:rPr>
        <w:t>Note: the “At least sufficient” class also includes bathing waters of “Excellent” quality class, the sum of shares is therefore not 100%.</w:t>
      </w:r>
      <w:r>
        <w:t xml:space="preserve"> </w:t>
      </w:r>
    </w:p>
    <w:p w:rsidR="00D55D9E" w:rsidRDefault="00D55D9E" w:rsidP="00ED3BDC">
      <w:pPr>
        <w:pStyle w:val="Caption"/>
      </w:pPr>
    </w:p>
    <w:p w:rsidR="00D55D9E" w:rsidRDefault="00D55D9E" w:rsidP="00ED3BDC"/>
    <w:p w:rsidR="00D55D9E" w:rsidRDefault="00D55D9E" w:rsidP="00ED3BDC"/>
    <w:p w:rsidR="00D55D9E"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D55D9E" w:rsidRDefault="00D55D9E" w:rsidP="00ED3BDC"/>
    <w:p w:rsidR="006E1479" w:rsidRPr="00DC6016" w:rsidRDefault="006E1479" w:rsidP="006E1479">
      <w:r w:rsidRPr="00DC6016">
        <w:t>The information for the public about bathing water quality during the bathing season was provided on the websites of municipalities and the website of the Centre for Health Education and Disease Prevention and on boards equipped on the beaches. The information includes:</w:t>
      </w:r>
    </w:p>
    <w:p w:rsidR="006E1479" w:rsidRPr="00DC6016" w:rsidRDefault="006E1479" w:rsidP="006E1479">
      <w:pPr>
        <w:numPr>
          <w:ilvl w:val="0"/>
          <w:numId w:val="6"/>
        </w:numPr>
        <w:ind w:left="714" w:hanging="357"/>
        <w:contextualSpacing/>
        <w:rPr>
          <w:rFonts w:eastAsia="Times New Roman"/>
        </w:rPr>
      </w:pPr>
      <w:r w:rsidRPr="00DC6016">
        <w:rPr>
          <w:rFonts w:eastAsia="Times New Roman"/>
        </w:rPr>
        <w:t>the duration for the bathing season;</w:t>
      </w:r>
    </w:p>
    <w:p w:rsidR="006E1479" w:rsidRPr="00DC6016" w:rsidRDefault="006E1479" w:rsidP="006E1479">
      <w:pPr>
        <w:numPr>
          <w:ilvl w:val="0"/>
          <w:numId w:val="6"/>
        </w:numPr>
        <w:ind w:left="714" w:hanging="357"/>
        <w:contextualSpacing/>
        <w:rPr>
          <w:rFonts w:eastAsia="Times New Roman"/>
        </w:rPr>
      </w:pPr>
      <w:r w:rsidRPr="00DC6016">
        <w:rPr>
          <w:rFonts w:eastAsia="Times New Roman"/>
        </w:rPr>
        <w:t>working hours for rescue workers on the beach;</w:t>
      </w:r>
    </w:p>
    <w:p w:rsidR="006E1479" w:rsidRPr="00DC6016" w:rsidRDefault="006E1479" w:rsidP="006E1479">
      <w:pPr>
        <w:numPr>
          <w:ilvl w:val="0"/>
          <w:numId w:val="6"/>
        </w:numPr>
        <w:ind w:left="714" w:hanging="357"/>
        <w:contextualSpacing/>
        <w:rPr>
          <w:rFonts w:eastAsia="Times New Roman"/>
        </w:rPr>
      </w:pPr>
      <w:r w:rsidRPr="00DC6016">
        <w:rPr>
          <w:rFonts w:eastAsia="Times New Roman"/>
        </w:rPr>
        <w:t>the update results of bathing water quality;</w:t>
      </w:r>
    </w:p>
    <w:p w:rsidR="006E1479" w:rsidRPr="00DC6016" w:rsidRDefault="006E1479" w:rsidP="006E1479">
      <w:pPr>
        <w:numPr>
          <w:ilvl w:val="0"/>
          <w:numId w:val="6"/>
        </w:numPr>
        <w:ind w:left="714" w:hanging="357"/>
        <w:contextualSpacing/>
        <w:rPr>
          <w:rFonts w:eastAsia="Times New Roman"/>
        </w:rPr>
      </w:pPr>
      <w:proofErr w:type="gramStart"/>
      <w:r w:rsidRPr="00DC6016">
        <w:rPr>
          <w:rFonts w:eastAsia="Times New Roman"/>
        </w:rPr>
        <w:t>in</w:t>
      </w:r>
      <w:proofErr w:type="gramEnd"/>
      <w:r w:rsidRPr="00DC6016">
        <w:rPr>
          <w:rFonts w:eastAsia="Times New Roman"/>
        </w:rPr>
        <w:t xml:space="preserve"> case of short term pollution the data when any bathing prohibition or advise against bathing are referred.</w:t>
      </w:r>
    </w:p>
    <w:p w:rsidR="006E1479" w:rsidRPr="00DC6016" w:rsidRDefault="006E1479" w:rsidP="006E1479"/>
    <w:p w:rsidR="006E1479" w:rsidRPr="00DC6016" w:rsidRDefault="006E1479" w:rsidP="006E1479">
      <w:r w:rsidRPr="00DC6016">
        <w:t xml:space="preserve">For the 2017 bathing season, </w:t>
      </w:r>
      <w:r>
        <w:t>five</w:t>
      </w:r>
      <w:r w:rsidRPr="00DC6016">
        <w:t xml:space="preserve"> short-term</w:t>
      </w:r>
      <w:r>
        <w:t xml:space="preserve"> pollutions were reported.</w:t>
      </w:r>
    </w:p>
    <w:p w:rsidR="00D55D9E" w:rsidRDefault="00D55D9E" w:rsidP="00ED3BDC"/>
    <w:p w:rsidR="00D55D9E" w:rsidRDefault="00D55D9E" w:rsidP="00ED3BDC"/>
    <w:p w:rsidR="00D55D9E" w:rsidRDefault="0024729D" w:rsidP="00ED3BDC">
      <w:pPr>
        <w:pStyle w:val="Heading1"/>
      </w:pPr>
      <w:r>
        <w:t>Bathing water quality assessment presentation in online viewers</w:t>
      </w:r>
    </w:p>
    <w:p w:rsidR="00D55D9E" w:rsidRDefault="00D55D9E" w:rsidP="00ED3BDC"/>
    <w:p w:rsidR="00D55D9E"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2" w:history="1">
        <w:r>
          <w:rPr>
            <w:rStyle w:val="Hyperlink"/>
          </w:rPr>
          <w:t>http://ec.europa.eu/environment/water/index_en.htm</w:t>
        </w:r>
      </w:hyperlink>
      <w:r>
        <w:t>.</w:t>
      </w:r>
    </w:p>
    <w:p w:rsidR="00D55D9E" w:rsidRDefault="00D55D9E" w:rsidP="00EC573D"/>
    <w:p w:rsidR="00D55D9E" w:rsidRDefault="003E2BA0" w:rsidP="003E2BA0">
      <w:r>
        <w:t>The bathing water section of the Water Information System for Europe (WISE) which is accessible at the EEA bathing water website (</w:t>
      </w:r>
      <w:hyperlink r:id="rId13"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D55D9E" w:rsidRDefault="002B438D" w:rsidP="003E2BA0">
      <w:r>
        <w:br w:type="page"/>
      </w:r>
    </w:p>
    <w:p w:rsidR="00D55D9E" w:rsidRDefault="002B438D" w:rsidP="00ED3BDC">
      <w:pPr>
        <w:rPr>
          <w:b/>
          <w:sz w:val="28"/>
        </w:rPr>
      </w:pPr>
      <w:r>
        <w:rPr>
          <w:b/>
          <w:sz w:val="28"/>
        </w:rPr>
        <w:lastRenderedPageBreak/>
        <w:t>Appendix 1: Results of bathing water quality in Lithuania from 2014 to 2017</w:t>
      </w:r>
    </w:p>
    <w:p w:rsidR="00D55D9E" w:rsidRDefault="00D55D9E" w:rsidP="00ED3BDC"/>
    <w:p w:rsidR="00D55D9E"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D55D9E" w:rsidTr="005F5E3F">
        <w:tc>
          <w:tcPr>
            <w:tcW w:w="1276" w:type="dxa"/>
            <w:gridSpan w:val="2"/>
            <w:vMerge w:val="restart"/>
            <w:shd w:val="clear" w:color="auto" w:fill="F2F2F2" w:themeFill="background1" w:themeFillShade="F2"/>
          </w:tcPr>
          <w:p w:rsidR="00D55D9E" w:rsidRDefault="00D55D9E"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D55D9E" w:rsidRDefault="005F5E3F" w:rsidP="00B853E1">
            <w:pPr>
              <w:jc w:val="center"/>
              <w:rPr>
                <w:rFonts w:asciiTheme="minorHAnsi" w:hAnsiTheme="minorHAnsi"/>
                <w:b/>
                <w:sz w:val="20"/>
                <w:szCs w:val="20"/>
              </w:rPr>
            </w:pPr>
            <w:r>
              <w:rPr>
                <w:rFonts w:asciiTheme="minorHAnsi" w:hAnsiTheme="minorHAnsi"/>
                <w:b/>
                <w:sz w:val="20"/>
                <w:szCs w:val="20"/>
              </w:rPr>
              <w:t>Total</w:t>
            </w:r>
          </w:p>
          <w:p w:rsidR="00D55D9E" w:rsidRDefault="005F5E3F" w:rsidP="00B853E1">
            <w:pPr>
              <w:jc w:val="center"/>
              <w:rPr>
                <w:rFonts w:asciiTheme="minorHAnsi" w:hAnsiTheme="minorHAnsi"/>
                <w:b/>
                <w:sz w:val="20"/>
                <w:szCs w:val="20"/>
              </w:rPr>
            </w:pPr>
            <w:r>
              <w:rPr>
                <w:rFonts w:asciiTheme="minorHAnsi" w:hAnsiTheme="minorHAnsi"/>
                <w:b/>
                <w:sz w:val="20"/>
                <w:szCs w:val="20"/>
              </w:rPr>
              <w:t>number</w:t>
            </w:r>
          </w:p>
          <w:p w:rsidR="00D55D9E" w:rsidRDefault="005F5E3F" w:rsidP="00B853E1">
            <w:pPr>
              <w:jc w:val="center"/>
              <w:rPr>
                <w:rFonts w:asciiTheme="minorHAnsi" w:hAnsiTheme="minorHAnsi"/>
                <w:b/>
                <w:sz w:val="20"/>
                <w:szCs w:val="20"/>
              </w:rPr>
            </w:pPr>
            <w:r>
              <w:rPr>
                <w:rFonts w:asciiTheme="minorHAnsi" w:hAnsiTheme="minorHAnsi"/>
                <w:b/>
                <w:sz w:val="20"/>
                <w:szCs w:val="20"/>
              </w:rPr>
              <w:t>of</w:t>
            </w:r>
          </w:p>
          <w:p w:rsidR="00D55D9E" w:rsidRDefault="005F5E3F" w:rsidP="00B853E1">
            <w:pPr>
              <w:jc w:val="center"/>
              <w:rPr>
                <w:rFonts w:asciiTheme="minorHAnsi" w:hAnsiTheme="minorHAnsi"/>
                <w:b/>
                <w:sz w:val="20"/>
                <w:szCs w:val="20"/>
              </w:rPr>
            </w:pPr>
            <w:r>
              <w:rPr>
                <w:rFonts w:asciiTheme="minorHAnsi" w:hAnsiTheme="minorHAnsi"/>
                <w:b/>
                <w:sz w:val="20"/>
                <w:szCs w:val="20"/>
              </w:rPr>
              <w:t>bathing</w:t>
            </w:r>
          </w:p>
          <w:p w:rsidR="00D55D9E"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D55D9E"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D55D9E" w:rsidRDefault="005F5E3F" w:rsidP="00B853E1">
            <w:pPr>
              <w:jc w:val="center"/>
              <w:rPr>
                <w:rFonts w:asciiTheme="minorHAnsi" w:hAnsiTheme="minorHAnsi"/>
                <w:b/>
                <w:sz w:val="20"/>
                <w:szCs w:val="20"/>
              </w:rPr>
            </w:pPr>
            <w:r>
              <w:rPr>
                <w:rFonts w:asciiTheme="minorHAnsi" w:hAnsiTheme="minorHAnsi"/>
                <w:b/>
                <w:sz w:val="20"/>
                <w:szCs w:val="20"/>
              </w:rPr>
              <w:t>At least</w:t>
            </w:r>
          </w:p>
          <w:p w:rsidR="00D55D9E" w:rsidRDefault="005F5E3F" w:rsidP="00B853E1">
            <w:pPr>
              <w:jc w:val="center"/>
              <w:rPr>
                <w:rFonts w:asciiTheme="minorHAnsi" w:hAnsiTheme="minorHAnsi"/>
                <w:b/>
                <w:sz w:val="20"/>
                <w:szCs w:val="20"/>
              </w:rPr>
            </w:pPr>
            <w:r>
              <w:rPr>
                <w:rFonts w:asciiTheme="minorHAnsi" w:hAnsiTheme="minorHAnsi"/>
                <w:b/>
                <w:sz w:val="20"/>
                <w:szCs w:val="20"/>
              </w:rPr>
              <w:t>sufficient</w:t>
            </w:r>
          </w:p>
          <w:p w:rsidR="00D55D9E"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D55D9E"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D55D9E" w:rsidRDefault="005F5E3F" w:rsidP="00B853E1">
            <w:pPr>
              <w:jc w:val="center"/>
              <w:rPr>
                <w:rFonts w:asciiTheme="minorHAnsi" w:hAnsiTheme="minorHAnsi"/>
                <w:b/>
                <w:sz w:val="20"/>
                <w:szCs w:val="20"/>
              </w:rPr>
            </w:pPr>
            <w:r>
              <w:rPr>
                <w:rFonts w:asciiTheme="minorHAnsi" w:hAnsiTheme="minorHAnsi"/>
                <w:b/>
                <w:sz w:val="20"/>
                <w:szCs w:val="20"/>
              </w:rPr>
              <w:t>Quality</w:t>
            </w:r>
          </w:p>
          <w:p w:rsidR="00D55D9E"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D55D9E"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D55D9E"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D55D9E" w:rsidRDefault="005F5E3F" w:rsidP="00B853E1">
            <w:pPr>
              <w:jc w:val="center"/>
              <w:rPr>
                <w:rFonts w:asciiTheme="minorHAnsi" w:hAnsiTheme="minorHAnsi"/>
                <w:b/>
                <w:sz w:val="20"/>
                <w:szCs w:val="20"/>
              </w:rPr>
            </w:pPr>
            <w:r>
              <w:rPr>
                <w:rFonts w:asciiTheme="minorHAnsi" w:hAnsiTheme="minorHAnsi"/>
                <w:b/>
                <w:sz w:val="20"/>
                <w:szCs w:val="20"/>
              </w:rPr>
              <w:t>/new bathing</w:t>
            </w:r>
          </w:p>
          <w:p w:rsidR="00D55D9E" w:rsidRDefault="005F5E3F" w:rsidP="00B853E1">
            <w:pPr>
              <w:jc w:val="center"/>
              <w:rPr>
                <w:rFonts w:asciiTheme="minorHAnsi" w:hAnsiTheme="minorHAnsi"/>
                <w:b/>
                <w:sz w:val="20"/>
                <w:szCs w:val="20"/>
              </w:rPr>
            </w:pPr>
            <w:r>
              <w:rPr>
                <w:rFonts w:asciiTheme="minorHAnsi" w:hAnsiTheme="minorHAnsi"/>
                <w:b/>
                <w:sz w:val="20"/>
                <w:szCs w:val="20"/>
              </w:rPr>
              <w:t>waters/bathing</w:t>
            </w:r>
          </w:p>
          <w:p w:rsidR="00D55D9E"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D55D9E" w:rsidTr="005F5E3F">
        <w:tc>
          <w:tcPr>
            <w:tcW w:w="1276" w:type="dxa"/>
            <w:gridSpan w:val="2"/>
            <w:vMerge/>
            <w:tcBorders>
              <w:bottom w:val="single" w:sz="4" w:space="0" w:color="808080" w:themeColor="background1" w:themeShade="80"/>
            </w:tcBorders>
            <w:shd w:val="clear" w:color="auto" w:fill="F2F2F2" w:themeFill="background1" w:themeFillShade="F2"/>
          </w:tcPr>
          <w:p w:rsidR="00D55D9E" w:rsidRDefault="00D55D9E"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D55D9E" w:rsidRDefault="00D55D9E"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D55D9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D55D9E"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D55D9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D55D9E"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D55D9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D55D9E"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D55D9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D55D9E" w:rsidRDefault="005F5E3F" w:rsidP="00430B97">
            <w:pPr>
              <w:jc w:val="center"/>
              <w:rPr>
                <w:rFonts w:asciiTheme="minorHAnsi" w:hAnsiTheme="minorHAnsi"/>
                <w:b/>
                <w:sz w:val="20"/>
                <w:szCs w:val="20"/>
              </w:rPr>
            </w:pPr>
            <w:r>
              <w:rPr>
                <w:rFonts w:asciiTheme="minorHAnsi" w:hAnsiTheme="minorHAnsi"/>
                <w:b/>
                <w:sz w:val="20"/>
                <w:szCs w:val="20"/>
              </w:rPr>
              <w:t>%</w:t>
            </w:r>
          </w:p>
        </w:tc>
      </w:tr>
      <w:tr w:rsidR="00D55D9E"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D55D9E" w:rsidRDefault="005F5E3F" w:rsidP="006E1479">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16</w:t>
            </w:r>
          </w:p>
        </w:tc>
        <w:tc>
          <w:tcPr>
            <w:tcW w:w="939"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14</w:t>
            </w:r>
          </w:p>
        </w:tc>
        <w:tc>
          <w:tcPr>
            <w:tcW w:w="904"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87.5</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16</w:t>
            </w:r>
          </w:p>
        </w:tc>
        <w:tc>
          <w:tcPr>
            <w:tcW w:w="99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r>
      <w:tr w:rsidR="00D55D9E"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55D9E" w:rsidRDefault="005F5E3F" w:rsidP="005C19AE">
            <w:pPr>
              <w:jc w:val="center"/>
              <w:rPr>
                <w:rFonts w:asciiTheme="minorHAnsi" w:hAnsiTheme="minorHAnsi"/>
                <w:sz w:val="20"/>
                <w:szCs w:val="20"/>
              </w:rPr>
            </w:pPr>
            <w:r>
              <w:rPr>
                <w:rFonts w:asciiTheme="minorHAnsi" w:hAnsiTheme="minorHAnsi"/>
                <w:sz w:val="20"/>
                <w:szCs w:val="20"/>
              </w:rPr>
              <w:t>Coastal</w:t>
            </w:r>
          </w:p>
          <w:p w:rsidR="00D55D9E" w:rsidRDefault="00D55D9E"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16</w:t>
            </w:r>
          </w:p>
        </w:tc>
        <w:tc>
          <w:tcPr>
            <w:tcW w:w="939"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14</w:t>
            </w:r>
          </w:p>
        </w:tc>
        <w:tc>
          <w:tcPr>
            <w:tcW w:w="904"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87.5</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15</w:t>
            </w:r>
          </w:p>
        </w:tc>
        <w:tc>
          <w:tcPr>
            <w:tcW w:w="99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93.8</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6.3</w:t>
            </w:r>
          </w:p>
        </w:tc>
        <w:tc>
          <w:tcPr>
            <w:tcW w:w="90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r>
      <w:tr w:rsidR="00D55D9E"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55D9E" w:rsidRDefault="005F5E3F" w:rsidP="005C19AE">
            <w:pPr>
              <w:jc w:val="center"/>
              <w:rPr>
                <w:rFonts w:asciiTheme="minorHAnsi" w:hAnsiTheme="minorHAnsi"/>
                <w:sz w:val="20"/>
                <w:szCs w:val="20"/>
              </w:rPr>
            </w:pPr>
            <w:r>
              <w:rPr>
                <w:rFonts w:asciiTheme="minorHAnsi" w:hAnsiTheme="minorHAnsi"/>
                <w:sz w:val="20"/>
                <w:szCs w:val="20"/>
              </w:rPr>
              <w:t>Coastal</w:t>
            </w:r>
          </w:p>
          <w:p w:rsidR="00D55D9E" w:rsidRDefault="00D55D9E"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16</w:t>
            </w:r>
          </w:p>
        </w:tc>
        <w:tc>
          <w:tcPr>
            <w:tcW w:w="939"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14</w:t>
            </w:r>
          </w:p>
        </w:tc>
        <w:tc>
          <w:tcPr>
            <w:tcW w:w="904"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87.5</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16</w:t>
            </w:r>
          </w:p>
        </w:tc>
        <w:tc>
          <w:tcPr>
            <w:tcW w:w="99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r>
      <w:tr w:rsidR="00D55D9E"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55D9E" w:rsidRDefault="005F5E3F" w:rsidP="005C19AE">
            <w:pPr>
              <w:jc w:val="center"/>
              <w:rPr>
                <w:rFonts w:asciiTheme="minorHAnsi" w:hAnsiTheme="minorHAnsi"/>
                <w:sz w:val="20"/>
                <w:szCs w:val="20"/>
              </w:rPr>
            </w:pPr>
            <w:r>
              <w:rPr>
                <w:rFonts w:asciiTheme="minorHAnsi" w:hAnsiTheme="minorHAnsi"/>
                <w:sz w:val="20"/>
                <w:szCs w:val="20"/>
              </w:rPr>
              <w:t>Coastal</w:t>
            </w:r>
          </w:p>
          <w:p w:rsidR="00D55D9E" w:rsidRDefault="00D55D9E"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16</w:t>
            </w:r>
          </w:p>
        </w:tc>
        <w:tc>
          <w:tcPr>
            <w:tcW w:w="939"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14</w:t>
            </w:r>
          </w:p>
        </w:tc>
        <w:tc>
          <w:tcPr>
            <w:tcW w:w="904"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87.5</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16</w:t>
            </w:r>
          </w:p>
        </w:tc>
        <w:tc>
          <w:tcPr>
            <w:tcW w:w="99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r>
      <w:tr w:rsidR="00D55D9E"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D55D9E" w:rsidRDefault="005F5E3F" w:rsidP="006E1479">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96</w:t>
            </w:r>
          </w:p>
        </w:tc>
        <w:tc>
          <w:tcPr>
            <w:tcW w:w="939"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82</w:t>
            </w:r>
          </w:p>
        </w:tc>
        <w:tc>
          <w:tcPr>
            <w:tcW w:w="904"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85.4</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94</w:t>
            </w:r>
          </w:p>
        </w:tc>
        <w:tc>
          <w:tcPr>
            <w:tcW w:w="99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97.9</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2.1</w:t>
            </w:r>
          </w:p>
        </w:tc>
      </w:tr>
      <w:tr w:rsidR="00D55D9E"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55D9E"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D55D9E" w:rsidRDefault="00D55D9E"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96</w:t>
            </w:r>
          </w:p>
        </w:tc>
        <w:tc>
          <w:tcPr>
            <w:tcW w:w="939"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82</w:t>
            </w:r>
          </w:p>
        </w:tc>
        <w:tc>
          <w:tcPr>
            <w:tcW w:w="904"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85.4</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91</w:t>
            </w:r>
          </w:p>
        </w:tc>
        <w:tc>
          <w:tcPr>
            <w:tcW w:w="99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94.8</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5</w:t>
            </w:r>
          </w:p>
        </w:tc>
        <w:tc>
          <w:tcPr>
            <w:tcW w:w="94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5.2</w:t>
            </w:r>
          </w:p>
        </w:tc>
      </w:tr>
      <w:tr w:rsidR="00D55D9E"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55D9E"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D55D9E" w:rsidRDefault="00D55D9E"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98</w:t>
            </w:r>
          </w:p>
        </w:tc>
        <w:tc>
          <w:tcPr>
            <w:tcW w:w="939"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83</w:t>
            </w:r>
          </w:p>
        </w:tc>
        <w:tc>
          <w:tcPr>
            <w:tcW w:w="904"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84.7</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94</w:t>
            </w:r>
          </w:p>
        </w:tc>
        <w:tc>
          <w:tcPr>
            <w:tcW w:w="99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95.9</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4</w:t>
            </w:r>
          </w:p>
        </w:tc>
        <w:tc>
          <w:tcPr>
            <w:tcW w:w="94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4.1</w:t>
            </w:r>
          </w:p>
        </w:tc>
      </w:tr>
      <w:tr w:rsidR="00D55D9E"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55D9E"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D55D9E" w:rsidRDefault="00D55D9E"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98</w:t>
            </w:r>
          </w:p>
        </w:tc>
        <w:tc>
          <w:tcPr>
            <w:tcW w:w="939"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83</w:t>
            </w:r>
          </w:p>
        </w:tc>
        <w:tc>
          <w:tcPr>
            <w:tcW w:w="904"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84.7</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94</w:t>
            </w:r>
          </w:p>
        </w:tc>
        <w:tc>
          <w:tcPr>
            <w:tcW w:w="99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95.9</w:t>
            </w:r>
          </w:p>
        </w:tc>
        <w:tc>
          <w:tcPr>
            <w:tcW w:w="992"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1.0</w:t>
            </w:r>
          </w:p>
        </w:tc>
        <w:tc>
          <w:tcPr>
            <w:tcW w:w="903"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3</w:t>
            </w:r>
          </w:p>
        </w:tc>
        <w:tc>
          <w:tcPr>
            <w:tcW w:w="940" w:type="dxa"/>
            <w:tcBorders>
              <w:top w:val="single" w:sz="4" w:space="0" w:color="808080" w:themeColor="background1" w:themeShade="80"/>
              <w:bottom w:val="single" w:sz="4" w:space="0" w:color="808080" w:themeColor="background1" w:themeShade="80"/>
            </w:tcBorders>
            <w:vAlign w:val="center"/>
          </w:tcPr>
          <w:p w:rsidR="00D55D9E" w:rsidRDefault="005F5E3F" w:rsidP="002E7263">
            <w:pPr>
              <w:jc w:val="right"/>
              <w:rPr>
                <w:rFonts w:asciiTheme="minorHAnsi" w:hAnsiTheme="minorHAnsi"/>
                <w:sz w:val="20"/>
                <w:szCs w:val="20"/>
              </w:rPr>
            </w:pPr>
            <w:r>
              <w:rPr>
                <w:rFonts w:asciiTheme="minorHAnsi" w:hAnsiTheme="minorHAnsi"/>
                <w:sz w:val="20"/>
                <w:szCs w:val="20"/>
              </w:rPr>
              <w:t>3.1</w:t>
            </w:r>
          </w:p>
        </w:tc>
      </w:tr>
      <w:tr w:rsidR="00D55D9E" w:rsidTr="005F5E3F">
        <w:trPr>
          <w:cantSplit/>
          <w:trHeight w:val="425"/>
        </w:trPr>
        <w:tc>
          <w:tcPr>
            <w:tcW w:w="426" w:type="dxa"/>
            <w:vMerge w:val="restart"/>
            <w:tcBorders>
              <w:top w:val="single" w:sz="4" w:space="0" w:color="808080" w:themeColor="background1" w:themeShade="80"/>
            </w:tcBorders>
            <w:textDirection w:val="btLr"/>
            <w:vAlign w:val="center"/>
          </w:tcPr>
          <w:p w:rsidR="00D55D9E" w:rsidRDefault="005F5E3F" w:rsidP="006E1479">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112</w:t>
            </w:r>
          </w:p>
        </w:tc>
        <w:tc>
          <w:tcPr>
            <w:tcW w:w="939"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96</w:t>
            </w:r>
          </w:p>
        </w:tc>
        <w:tc>
          <w:tcPr>
            <w:tcW w:w="904"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85.7</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110</w:t>
            </w:r>
          </w:p>
        </w:tc>
        <w:tc>
          <w:tcPr>
            <w:tcW w:w="993"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98.2</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2</w:t>
            </w:r>
          </w:p>
        </w:tc>
        <w:tc>
          <w:tcPr>
            <w:tcW w:w="94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1.8</w:t>
            </w:r>
          </w:p>
        </w:tc>
      </w:tr>
      <w:tr w:rsidR="00D55D9E" w:rsidTr="005F5E3F">
        <w:trPr>
          <w:cantSplit/>
          <w:trHeight w:val="425"/>
        </w:trPr>
        <w:tc>
          <w:tcPr>
            <w:tcW w:w="426" w:type="dxa"/>
            <w:vMerge/>
            <w:tcBorders>
              <w:top w:val="single" w:sz="4" w:space="0" w:color="808080" w:themeColor="background1" w:themeShade="80"/>
            </w:tcBorders>
            <w:textDirection w:val="btLr"/>
            <w:vAlign w:val="center"/>
          </w:tcPr>
          <w:p w:rsidR="00D55D9E"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55D9E" w:rsidRDefault="00D55D9E"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112</w:t>
            </w:r>
          </w:p>
        </w:tc>
        <w:tc>
          <w:tcPr>
            <w:tcW w:w="939"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96</w:t>
            </w:r>
          </w:p>
        </w:tc>
        <w:tc>
          <w:tcPr>
            <w:tcW w:w="904"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85.7</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106</w:t>
            </w:r>
          </w:p>
        </w:tc>
        <w:tc>
          <w:tcPr>
            <w:tcW w:w="993"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94.6</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0.9</w:t>
            </w:r>
          </w:p>
        </w:tc>
        <w:tc>
          <w:tcPr>
            <w:tcW w:w="903"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5</w:t>
            </w:r>
          </w:p>
        </w:tc>
        <w:tc>
          <w:tcPr>
            <w:tcW w:w="94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4.5</w:t>
            </w:r>
          </w:p>
        </w:tc>
      </w:tr>
      <w:tr w:rsidR="00D55D9E" w:rsidTr="005F5E3F">
        <w:trPr>
          <w:cantSplit/>
          <w:trHeight w:val="425"/>
        </w:trPr>
        <w:tc>
          <w:tcPr>
            <w:tcW w:w="426" w:type="dxa"/>
            <w:vMerge/>
            <w:tcBorders>
              <w:top w:val="single" w:sz="4" w:space="0" w:color="808080" w:themeColor="background1" w:themeShade="80"/>
            </w:tcBorders>
            <w:textDirection w:val="btLr"/>
            <w:vAlign w:val="center"/>
          </w:tcPr>
          <w:p w:rsidR="00D55D9E"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55D9E" w:rsidRDefault="00D55D9E"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114</w:t>
            </w:r>
          </w:p>
        </w:tc>
        <w:tc>
          <w:tcPr>
            <w:tcW w:w="939"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97</w:t>
            </w:r>
          </w:p>
        </w:tc>
        <w:tc>
          <w:tcPr>
            <w:tcW w:w="904"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85.1</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110</w:t>
            </w:r>
          </w:p>
        </w:tc>
        <w:tc>
          <w:tcPr>
            <w:tcW w:w="993"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96.5</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4</w:t>
            </w:r>
          </w:p>
        </w:tc>
        <w:tc>
          <w:tcPr>
            <w:tcW w:w="94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3.5</w:t>
            </w:r>
          </w:p>
        </w:tc>
      </w:tr>
      <w:tr w:rsidR="00D55D9E" w:rsidTr="005F5E3F">
        <w:trPr>
          <w:cantSplit/>
          <w:trHeight w:val="425"/>
        </w:trPr>
        <w:tc>
          <w:tcPr>
            <w:tcW w:w="426" w:type="dxa"/>
            <w:vMerge/>
            <w:tcBorders>
              <w:top w:val="single" w:sz="4" w:space="0" w:color="808080" w:themeColor="background1" w:themeShade="80"/>
            </w:tcBorders>
            <w:textDirection w:val="btLr"/>
            <w:vAlign w:val="center"/>
          </w:tcPr>
          <w:p w:rsidR="00D55D9E"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55D9E" w:rsidRDefault="00D55D9E"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114</w:t>
            </w:r>
          </w:p>
        </w:tc>
        <w:tc>
          <w:tcPr>
            <w:tcW w:w="939"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97</w:t>
            </w:r>
          </w:p>
        </w:tc>
        <w:tc>
          <w:tcPr>
            <w:tcW w:w="904"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85.1</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110</w:t>
            </w:r>
          </w:p>
        </w:tc>
        <w:tc>
          <w:tcPr>
            <w:tcW w:w="993"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96.5</w:t>
            </w:r>
          </w:p>
        </w:tc>
        <w:tc>
          <w:tcPr>
            <w:tcW w:w="992"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0.9</w:t>
            </w:r>
          </w:p>
        </w:tc>
        <w:tc>
          <w:tcPr>
            <w:tcW w:w="903"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3</w:t>
            </w:r>
          </w:p>
        </w:tc>
        <w:tc>
          <w:tcPr>
            <w:tcW w:w="940" w:type="dxa"/>
            <w:tcBorders>
              <w:top w:val="single" w:sz="4" w:space="0" w:color="808080" w:themeColor="background1" w:themeShade="80"/>
            </w:tcBorders>
            <w:vAlign w:val="center"/>
          </w:tcPr>
          <w:p w:rsidR="00D55D9E" w:rsidRDefault="005F5E3F" w:rsidP="002E7263">
            <w:pPr>
              <w:jc w:val="right"/>
              <w:rPr>
                <w:rFonts w:asciiTheme="minorHAnsi" w:hAnsiTheme="minorHAnsi"/>
                <w:b/>
                <w:sz w:val="20"/>
                <w:szCs w:val="20"/>
              </w:rPr>
            </w:pPr>
            <w:r>
              <w:rPr>
                <w:rFonts w:asciiTheme="minorHAnsi" w:hAnsiTheme="minorHAnsi"/>
                <w:b/>
                <w:sz w:val="20"/>
                <w:szCs w:val="20"/>
              </w:rPr>
              <w:t>2.6</w:t>
            </w:r>
          </w:p>
        </w:tc>
      </w:tr>
    </w:tbl>
    <w:p w:rsidR="00D55D9E"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D55D9E" w:rsidRDefault="002B438D" w:rsidP="00ED3BDC">
      <w:r>
        <w:br w:type="page"/>
      </w:r>
    </w:p>
    <w:p w:rsidR="00D55D9E" w:rsidRDefault="002B438D" w:rsidP="00ED3BDC">
      <w:pPr>
        <w:rPr>
          <w:b/>
          <w:sz w:val="28"/>
        </w:rPr>
      </w:pPr>
      <w:r>
        <w:rPr>
          <w:b/>
          <w:sz w:val="28"/>
        </w:rPr>
        <w:lastRenderedPageBreak/>
        <w:t>Appendix 2: Bathing water quality map</w:t>
      </w:r>
    </w:p>
    <w:p w:rsidR="00D55D9E" w:rsidRDefault="00D55D9E" w:rsidP="00ED3BDC"/>
    <w:p w:rsidR="00D55D9E" w:rsidRDefault="006E1479" w:rsidP="00ED3BDC">
      <w:r>
        <w:rPr>
          <w:noProof/>
          <w:lang w:eastAsia="en-GB"/>
        </w:rPr>
        <w:drawing>
          <wp:inline distT="0" distB="0" distL="0" distR="0">
            <wp:extent cx="6188710" cy="8008919"/>
            <wp:effectExtent l="0" t="0" r="2540" b="0"/>
            <wp:docPr id="4" name="Picture 4" descr="D:\Projekti\BWD\BWD 2017\National reports\GIS\map\NationalReports\PNG\20180420\LT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LT_20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D55D9E" w:rsidSect="00344240">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74F" w:rsidRDefault="0092674F" w:rsidP="00ED3BDC">
      <w:r>
        <w:separator/>
      </w:r>
    </w:p>
  </w:endnote>
  <w:endnote w:type="continuationSeparator" w:id="0">
    <w:p w:rsidR="0092674F" w:rsidRDefault="0092674F" w:rsidP="00ED3BDC">
      <w:r>
        <w:continuationSeparator/>
      </w:r>
    </w:p>
  </w:endnote>
  <w:endnote w:type="continuationNotice" w:id="1">
    <w:p w:rsidR="0092674F" w:rsidRDefault="0092674F"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9E" w:rsidRDefault="00D55D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9E" w:rsidRDefault="00D55D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9E" w:rsidRDefault="00D55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74F" w:rsidRDefault="0092674F" w:rsidP="00ED3BDC">
      <w:r>
        <w:separator/>
      </w:r>
    </w:p>
  </w:footnote>
  <w:footnote w:type="continuationSeparator" w:id="0">
    <w:p w:rsidR="0092674F" w:rsidRDefault="0092674F" w:rsidP="00ED3BDC">
      <w:r>
        <w:continuationSeparator/>
      </w:r>
    </w:p>
  </w:footnote>
  <w:footnote w:type="continuationNotice" w:id="1">
    <w:p w:rsidR="0092674F" w:rsidRDefault="0092674F"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9E" w:rsidRDefault="00D55D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9E" w:rsidRDefault="00D55D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9E"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5C5ACB"/>
    <w:multiLevelType w:val="hybridMultilevel"/>
    <w:tmpl w:val="E2E6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1479"/>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674F"/>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5D9E"/>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ea.europa.eu/themes/water/interactive/bathing/state-of-bathing-wat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europa.eu/environment/water/index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smlpc.lt/lt/aplinkos_sveikata/maudyklos"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Feuil1!$B$2:$B$15</c:f>
              <c:numCache>
                <c:formatCode>General</c:formatCode>
                <c:ptCount val="14"/>
                <c:pt idx="0">
                  <c:v>0.21429999999999999</c:v>
                </c:pt>
                <c:pt idx="1">
                  <c:v>0.5333</c:v>
                </c:pt>
                <c:pt idx="2">
                  <c:v>0.66669999999999996</c:v>
                </c:pt>
                <c:pt idx="3">
                  <c:v>0.6</c:v>
                </c:pt>
                <c:pt idx="4">
                  <c:v>1</c:v>
                </c:pt>
                <c:pt idx="5">
                  <c:v>0.8125</c:v>
                </c:pt>
                <c:pt idx="6">
                  <c:v>1</c:v>
                </c:pt>
                <c:pt idx="7">
                  <c:v>0.8125</c:v>
                </c:pt>
                <c:pt idx="8">
                  <c:v>0.8125</c:v>
                </c:pt>
                <c:pt idx="9">
                  <c:v>0.8125</c:v>
                </c:pt>
                <c:pt idx="10">
                  <c:v>0.875</c:v>
                </c:pt>
                <c:pt idx="11">
                  <c:v>0.875</c:v>
                </c:pt>
                <c:pt idx="12">
                  <c:v>0.875</c:v>
                </c:pt>
                <c:pt idx="13">
                  <c:v>0.875</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Feuil1!$C$2:$C$15</c:f>
              <c:numCache>
                <c:formatCode>General</c:formatCode>
                <c:ptCount val="14"/>
                <c:pt idx="0">
                  <c:v>0.57140000000000002</c:v>
                </c:pt>
                <c:pt idx="1">
                  <c:v>1</c:v>
                </c:pt>
                <c:pt idx="2">
                  <c:v>1</c:v>
                </c:pt>
                <c:pt idx="3">
                  <c:v>0.93330000000000002</c:v>
                </c:pt>
                <c:pt idx="4">
                  <c:v>1</c:v>
                </c:pt>
                <c:pt idx="5">
                  <c:v>1</c:v>
                </c:pt>
                <c:pt idx="6">
                  <c:v>1</c:v>
                </c:pt>
                <c:pt idx="7">
                  <c:v>1</c:v>
                </c:pt>
                <c:pt idx="8">
                  <c:v>1</c:v>
                </c:pt>
                <c:pt idx="9">
                  <c:v>1</c:v>
                </c:pt>
                <c:pt idx="10">
                  <c:v>1</c:v>
                </c:pt>
                <c:pt idx="11">
                  <c:v>0.9375</c:v>
                </c:pt>
                <c:pt idx="12">
                  <c:v>1</c:v>
                </c:pt>
                <c:pt idx="13">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Feuil1!$D$2:$D$15</c:f>
              <c:numCache>
                <c:formatCode>General</c:formatCode>
                <c:ptCount val="14"/>
                <c:pt idx="0">
                  <c:v>0</c:v>
                </c:pt>
                <c:pt idx="1">
                  <c:v>0</c:v>
                </c:pt>
                <c:pt idx="2">
                  <c:v>0</c:v>
                </c:pt>
                <c:pt idx="3">
                  <c:v>6.6699999999999995E-2</c:v>
                </c:pt>
                <c:pt idx="4">
                  <c:v>0</c:v>
                </c:pt>
                <c:pt idx="5">
                  <c:v>0</c:v>
                </c:pt>
                <c:pt idx="6">
                  <c:v>0</c:v>
                </c:pt>
                <c:pt idx="7">
                  <c:v>0</c:v>
                </c:pt>
                <c:pt idx="8">
                  <c:v>0</c:v>
                </c:pt>
                <c:pt idx="9">
                  <c:v>0</c:v>
                </c:pt>
                <c:pt idx="10">
                  <c:v>0</c:v>
                </c:pt>
                <c:pt idx="11">
                  <c:v>6.25E-2</c:v>
                </c:pt>
                <c:pt idx="12">
                  <c:v>0</c:v>
                </c:pt>
                <c:pt idx="13">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Feuil1!$E$2:$E$15</c:f>
              <c:numCache>
                <c:formatCode>General</c:formatCode>
                <c:ptCount val="14"/>
                <c:pt idx="0">
                  <c:v>0.42859999999999998</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mooth val="0"/>
        </c:ser>
        <c:dLbls>
          <c:showLegendKey val="0"/>
          <c:showVal val="0"/>
          <c:showCatName val="0"/>
          <c:showSerName val="0"/>
          <c:showPercent val="0"/>
          <c:showBubbleSize val="0"/>
        </c:dLbls>
        <c:marker val="1"/>
        <c:smooth val="0"/>
        <c:axId val="171896832"/>
        <c:axId val="171898368"/>
      </c:lineChart>
      <c:catAx>
        <c:axId val="171896832"/>
        <c:scaling>
          <c:orientation val="minMax"/>
        </c:scaling>
        <c:delete val="0"/>
        <c:axPos val="b"/>
        <c:numFmt formatCode="@" sourceLinked="0"/>
        <c:majorTickMark val="out"/>
        <c:minorTickMark val="none"/>
        <c:tickLblPos val="nextTo"/>
        <c:crossAx val="171898368"/>
        <c:crosses val="autoZero"/>
        <c:auto val="1"/>
        <c:lblAlgn val="ctr"/>
        <c:lblOffset val="100"/>
        <c:noMultiLvlLbl val="0"/>
      </c:catAx>
      <c:valAx>
        <c:axId val="171898368"/>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1896832"/>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Feuil1!$B$2:$B$15</c:f>
              <c:numCache>
                <c:formatCode>General</c:formatCode>
                <c:ptCount val="14"/>
                <c:pt idx="0">
                  <c:v>0.26419999999999999</c:v>
                </c:pt>
                <c:pt idx="1">
                  <c:v>0.39290000000000003</c:v>
                </c:pt>
                <c:pt idx="2">
                  <c:v>0.45760000000000001</c:v>
                </c:pt>
                <c:pt idx="3">
                  <c:v>0.47139999999999999</c:v>
                </c:pt>
                <c:pt idx="4">
                  <c:v>0.61450000000000005</c:v>
                </c:pt>
                <c:pt idx="5">
                  <c:v>0.60419999999999996</c:v>
                </c:pt>
                <c:pt idx="6">
                  <c:v>0.4592</c:v>
                </c:pt>
                <c:pt idx="7">
                  <c:v>0.71430000000000005</c:v>
                </c:pt>
                <c:pt idx="8">
                  <c:v>0.70409999999999995</c:v>
                </c:pt>
                <c:pt idx="9">
                  <c:v>0.84379999999999999</c:v>
                </c:pt>
                <c:pt idx="10">
                  <c:v>0.85419999999999996</c:v>
                </c:pt>
                <c:pt idx="11">
                  <c:v>0.85419999999999996</c:v>
                </c:pt>
                <c:pt idx="12">
                  <c:v>0.84689999999999999</c:v>
                </c:pt>
                <c:pt idx="13">
                  <c:v>0.84689999999999999</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Feuil1!$C$2:$C$15</c:f>
              <c:numCache>
                <c:formatCode>General</c:formatCode>
                <c:ptCount val="14"/>
                <c:pt idx="0">
                  <c:v>0.58489999999999998</c:v>
                </c:pt>
                <c:pt idx="1">
                  <c:v>0.98209999999999997</c:v>
                </c:pt>
                <c:pt idx="2">
                  <c:v>0.98309999999999997</c:v>
                </c:pt>
                <c:pt idx="3">
                  <c:v>0.98570000000000002</c:v>
                </c:pt>
                <c:pt idx="4">
                  <c:v>1</c:v>
                </c:pt>
                <c:pt idx="5">
                  <c:v>0.97919999999999996</c:v>
                </c:pt>
                <c:pt idx="6">
                  <c:v>0.82650000000000001</c:v>
                </c:pt>
                <c:pt idx="7">
                  <c:v>0.86729999999999996</c:v>
                </c:pt>
                <c:pt idx="8">
                  <c:v>0.88780000000000003</c:v>
                </c:pt>
                <c:pt idx="9">
                  <c:v>0.96879999999999999</c:v>
                </c:pt>
                <c:pt idx="10">
                  <c:v>0.97919999999999996</c:v>
                </c:pt>
                <c:pt idx="11">
                  <c:v>0.94789999999999996</c:v>
                </c:pt>
                <c:pt idx="12">
                  <c:v>0.95920000000000005</c:v>
                </c:pt>
                <c:pt idx="13">
                  <c:v>0.95920000000000005</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Feuil1!$D$2:$D$15</c:f>
              <c:numCache>
                <c:formatCode>General</c:formatCode>
                <c:ptCount val="14"/>
                <c:pt idx="0">
                  <c:v>3.7699999999999997E-2</c:v>
                </c:pt>
                <c:pt idx="1">
                  <c:v>0</c:v>
                </c:pt>
                <c:pt idx="2">
                  <c:v>0</c:v>
                </c:pt>
                <c:pt idx="3">
                  <c:v>0</c:v>
                </c:pt>
                <c:pt idx="4">
                  <c:v>0</c:v>
                </c:pt>
                <c:pt idx="5">
                  <c:v>0</c:v>
                </c:pt>
                <c:pt idx="6">
                  <c:v>0</c:v>
                </c:pt>
                <c:pt idx="7">
                  <c:v>0</c:v>
                </c:pt>
                <c:pt idx="8">
                  <c:v>0</c:v>
                </c:pt>
                <c:pt idx="9">
                  <c:v>0</c:v>
                </c:pt>
                <c:pt idx="10">
                  <c:v>0</c:v>
                </c:pt>
                <c:pt idx="11">
                  <c:v>0</c:v>
                </c:pt>
                <c:pt idx="12">
                  <c:v>0</c:v>
                </c:pt>
                <c:pt idx="13">
                  <c:v>1.0200000000000001E-2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Feuil1!$E$2:$E$15</c:f>
              <c:numCache>
                <c:formatCode>General</c:formatCode>
                <c:ptCount val="14"/>
                <c:pt idx="0">
                  <c:v>0.37740000000000001</c:v>
                </c:pt>
                <c:pt idx="1">
                  <c:v>1.7899999999999999E-2</c:v>
                </c:pt>
                <c:pt idx="2">
                  <c:v>1.6899999999999998E-2</c:v>
                </c:pt>
                <c:pt idx="3">
                  <c:v>1.43E-2</c:v>
                </c:pt>
                <c:pt idx="4">
                  <c:v>0</c:v>
                </c:pt>
                <c:pt idx="5">
                  <c:v>2.0799999999999999E-2</c:v>
                </c:pt>
                <c:pt idx="6">
                  <c:v>0.17349999999999999</c:v>
                </c:pt>
                <c:pt idx="7">
                  <c:v>0.13270000000000001</c:v>
                </c:pt>
                <c:pt idx="8">
                  <c:v>0.11219999999999999</c:v>
                </c:pt>
                <c:pt idx="9">
                  <c:v>3.1300000000000001E-2</c:v>
                </c:pt>
                <c:pt idx="10">
                  <c:v>2.0799999999999999E-2</c:v>
                </c:pt>
                <c:pt idx="11">
                  <c:v>5.21E-2</c:v>
                </c:pt>
                <c:pt idx="12">
                  <c:v>4.0800000000000003E-2</c:v>
                </c:pt>
                <c:pt idx="13">
                  <c:v>3.0599999999999999E-2</c:v>
                </c:pt>
              </c:numCache>
            </c:numRef>
          </c:val>
          <c:smooth val="0"/>
        </c:ser>
        <c:dLbls>
          <c:showLegendKey val="0"/>
          <c:showVal val="0"/>
          <c:showCatName val="0"/>
          <c:showSerName val="0"/>
          <c:showPercent val="0"/>
          <c:showBubbleSize val="0"/>
        </c:dLbls>
        <c:marker val="1"/>
        <c:smooth val="0"/>
        <c:axId val="171941248"/>
        <c:axId val="171951232"/>
      </c:lineChart>
      <c:catAx>
        <c:axId val="171941248"/>
        <c:scaling>
          <c:orientation val="minMax"/>
        </c:scaling>
        <c:delete val="0"/>
        <c:axPos val="b"/>
        <c:numFmt formatCode="@" sourceLinked="0"/>
        <c:majorTickMark val="out"/>
        <c:minorTickMark val="none"/>
        <c:tickLblPos val="nextTo"/>
        <c:crossAx val="171951232"/>
        <c:crosses val="autoZero"/>
        <c:auto val="1"/>
        <c:lblAlgn val="ctr"/>
        <c:lblOffset val="100"/>
        <c:noMultiLvlLbl val="0"/>
      </c:catAx>
      <c:valAx>
        <c:axId val="17195123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1941248"/>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B85B4-B19F-440C-B26A-B07C608E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3034</TotalTime>
  <Pages>7</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2018-04-25T15:47:00Z</dcterms:modified>
</cp:coreProperties>
</file>