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B3" w:rsidRDefault="00B835B3" w:rsidP="00ED3BDC"/>
    <w:p w:rsidR="00B835B3" w:rsidRDefault="00E95009" w:rsidP="00B67D96">
      <w:pPr>
        <w:jc w:val="center"/>
        <w:rPr>
          <w:rFonts w:cs="Arial"/>
          <w:b/>
          <w:bCs/>
          <w:sz w:val="32"/>
        </w:rPr>
      </w:pPr>
      <w:r>
        <w:rPr>
          <w:b/>
          <w:sz w:val="32"/>
        </w:rPr>
        <w:t xml:space="preserve">BWD Report For the Bathing Season </w:t>
      </w:r>
      <w:r>
        <w:rPr>
          <w:rFonts w:cs="Arial"/>
          <w:b/>
          <w:bCs/>
          <w:sz w:val="32"/>
        </w:rPr>
        <w:t>2017</w:t>
      </w:r>
    </w:p>
    <w:p w:rsidR="00B835B3" w:rsidRDefault="0079462E" w:rsidP="00B67D96">
      <w:pPr>
        <w:jc w:val="center"/>
        <w:rPr>
          <w:b/>
          <w:sz w:val="40"/>
        </w:rPr>
      </w:pPr>
      <w:r>
        <w:rPr>
          <w:b/>
          <w:sz w:val="40"/>
        </w:rPr>
        <w:t>Croatia</w:t>
      </w:r>
    </w:p>
    <w:p w:rsidR="00B835B3" w:rsidRDefault="00B835B3" w:rsidP="00ED3BDC"/>
    <w:p w:rsidR="00B835B3" w:rsidRDefault="00B835B3" w:rsidP="00ED3BDC"/>
    <w:p w:rsidR="00B835B3"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Croatia.</w:t>
      </w:r>
    </w:p>
    <w:p w:rsidR="00B835B3" w:rsidRDefault="00B835B3" w:rsidP="00ED3BDC"/>
    <w:p w:rsidR="00B835B3" w:rsidRDefault="00B835B3" w:rsidP="00ED3BDC"/>
    <w:p w:rsidR="00B835B3" w:rsidRDefault="0079462E" w:rsidP="00ED3BDC">
      <w:pPr>
        <w:pStyle w:val="Heading1"/>
      </w:pPr>
      <w:r>
        <w:t xml:space="preserve">BWD reporting in the season </w:t>
      </w:r>
      <w:r>
        <w:rPr>
          <w:szCs w:val="28"/>
        </w:rPr>
        <w:t>2017</w:t>
      </w:r>
    </w:p>
    <w:p w:rsidR="00B835B3" w:rsidRDefault="00B835B3" w:rsidP="00ED3BDC"/>
    <w:p w:rsidR="00B835B3"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B835B3" w:rsidRDefault="0079462E" w:rsidP="00442644">
                            <w:pPr>
                              <w:jc w:val="center"/>
                              <w:rPr>
                                <w:rFonts w:asciiTheme="minorHAnsi" w:hAnsiTheme="minorHAnsi"/>
                                <w:b/>
                              </w:rPr>
                            </w:pPr>
                            <w:r>
                              <w:rPr>
                                <w:rFonts w:asciiTheme="minorHAnsi" w:hAnsiTheme="minorHAnsi"/>
                                <w:b/>
                              </w:rPr>
                              <w:t>Bathing waters of Croatia in 2017</w:t>
                            </w:r>
                          </w:p>
                          <w:p w:rsidR="00B835B3" w:rsidRDefault="00B835B3" w:rsidP="00ED3BDC">
                            <w:pPr>
                              <w:rPr>
                                <w:rFonts w:asciiTheme="minorHAnsi" w:hAnsiTheme="minorHAnsi"/>
                                <w:sz w:val="20"/>
                              </w:rPr>
                            </w:pPr>
                          </w:p>
                          <w:p w:rsidR="00B835B3"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976</w:t>
                            </w:r>
                          </w:p>
                          <w:p w:rsidR="00B835B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949</w:t>
                            </w:r>
                          </w:p>
                          <w:p w:rsidR="00B835B3"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27</w:t>
                            </w:r>
                          </w:p>
                          <w:p w:rsidR="00B835B3" w:rsidRDefault="00B835B3" w:rsidP="00DB3D3B">
                            <w:pPr>
                              <w:tabs>
                                <w:tab w:val="right" w:pos="3544"/>
                              </w:tabs>
                              <w:rPr>
                                <w:rFonts w:asciiTheme="minorHAnsi" w:hAnsiTheme="minorHAnsi"/>
                                <w:sz w:val="20"/>
                              </w:rPr>
                            </w:pPr>
                          </w:p>
                          <w:p w:rsidR="00B835B3"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107 / 127 days</w:t>
                            </w:r>
                          </w:p>
                          <w:p w:rsidR="00B835B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Jun to 5 Oct</w:t>
                            </w:r>
                          </w:p>
                          <w:p w:rsidR="00B835B3"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 Jun to 15 Sep</w:t>
                            </w:r>
                          </w:p>
                          <w:p w:rsidR="00B835B3" w:rsidRDefault="00B835B3" w:rsidP="00ED3BDC">
                            <w:pPr>
                              <w:rPr>
                                <w:rFonts w:asciiTheme="minorHAnsi" w:hAnsiTheme="minorHAnsi"/>
                                <w:sz w:val="20"/>
                              </w:rPr>
                            </w:pPr>
                          </w:p>
                          <w:p w:rsidR="00B835B3"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9712</w:t>
                            </w:r>
                          </w:p>
                          <w:p w:rsidR="00B835B3" w:rsidRDefault="00B835B3" w:rsidP="00ED3BDC">
                            <w:pPr>
                              <w:rPr>
                                <w:rFonts w:asciiTheme="minorHAnsi" w:hAnsiTheme="minorHAnsi"/>
                                <w:sz w:val="20"/>
                              </w:rPr>
                            </w:pPr>
                          </w:p>
                          <w:p w:rsidR="00B835B3"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B835B3" w:rsidRDefault="0079462E" w:rsidP="00ED3BDC">
                            <w:pPr>
                              <w:rPr>
                                <w:rFonts w:asciiTheme="minorHAnsi" w:hAnsiTheme="minorHAnsi"/>
                                <w:b/>
                                <w:sz w:val="20"/>
                              </w:rPr>
                            </w:pPr>
                            <w:r>
                              <w:rPr>
                                <w:rFonts w:asciiTheme="minorHAnsi" w:hAnsiTheme="minorHAnsi"/>
                                <w:b/>
                                <w:sz w:val="20"/>
                              </w:rPr>
                              <w:t xml:space="preserve">with good or excellent </w:t>
                            </w:r>
                          </w:p>
                          <w:p w:rsidR="00B835B3" w:rsidRDefault="0079462E" w:rsidP="00ED3BDC">
                            <w:pPr>
                              <w:rPr>
                                <w:rFonts w:asciiTheme="minorHAnsi" w:hAnsiTheme="minorHAnsi"/>
                                <w:b/>
                                <w:sz w:val="20"/>
                              </w:rPr>
                            </w:pPr>
                            <w:r>
                              <w:rPr>
                                <w:rFonts w:asciiTheme="minorHAnsi" w:hAnsiTheme="minorHAnsi"/>
                                <w:b/>
                                <w:sz w:val="20"/>
                              </w:rPr>
                              <w:t>water quality</w:t>
                            </w:r>
                          </w:p>
                          <w:p w:rsidR="00B835B3" w:rsidRDefault="00B835B3" w:rsidP="00ED3BDC">
                            <w:pPr>
                              <w:rPr>
                                <w:rFonts w:asciiTheme="minorHAnsi" w:hAnsiTheme="minorHAnsi"/>
                                <w:sz w:val="20"/>
                              </w:rPr>
                            </w:pPr>
                          </w:p>
                          <w:p w:rsidR="00B835B3"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B835B3"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Croatia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976</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949</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27</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107 / 127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Jun to 5 Oct</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 Jun to 15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9712</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95 %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2009</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976 bathing waters have been reported in Croatia. For each bathing water, five groups of parameters have been delivered</w:t>
      </w:r>
      <w:r>
        <w:rPr>
          <w:rStyle w:val="FootnoteReference"/>
        </w:rPr>
        <w:footnoteReference w:id="3"/>
      </w:r>
      <w:r>
        <w:t>:</w:t>
      </w:r>
    </w:p>
    <w:p w:rsidR="00B835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B835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B835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B835B3"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B835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B835B3" w:rsidRDefault="00B835B3" w:rsidP="00ED3BDC"/>
    <w:p w:rsidR="00B835B3" w:rsidRDefault="0079462E" w:rsidP="00ED3BDC">
      <w:r>
        <w:t xml:space="preserve">The authorities of </w:t>
      </w:r>
      <w:r>
        <w:rPr>
          <w:rFonts w:ascii="Cambria" w:hAnsi="Cambria"/>
        </w:rPr>
        <w:t>Croatia</w:t>
      </w:r>
      <w:r>
        <w:t xml:space="preserve"> report data according to the new BWD (2006/7/EC) since the season </w:t>
      </w:r>
      <w:r>
        <w:rPr>
          <w:rFonts w:ascii="Cambria" w:hAnsi="Cambria"/>
        </w:rPr>
        <w:t>2009</w:t>
      </w:r>
      <w:r>
        <w:t>.</w:t>
      </w:r>
    </w:p>
    <w:p w:rsidR="00B835B3" w:rsidRDefault="00B835B3" w:rsidP="00ED3BDC"/>
    <w:p w:rsidR="00B835B3" w:rsidRDefault="0079462E" w:rsidP="00ED3BDC">
      <w:r>
        <w:t xml:space="preserve">Altogether, </w:t>
      </w:r>
      <w:r>
        <w:rPr>
          <w:rFonts w:ascii="Cambria" w:hAnsi="Cambria"/>
          <w:b/>
        </w:rPr>
        <w:t>976</w:t>
      </w:r>
      <w:r>
        <w:rPr>
          <w:rFonts w:ascii="Cambria" w:hAnsi="Cambria"/>
        </w:rPr>
        <w:t xml:space="preserve"> </w:t>
      </w:r>
      <w:r>
        <w:rPr>
          <w:b/>
        </w:rPr>
        <w:t xml:space="preserve">bathing waters </w:t>
      </w:r>
      <w:r>
        <w:t xml:space="preserve">have been reported – 4.5% of all bathing waters in Europe. </w:t>
      </w:r>
      <w:r w:rsidR="00A55FCB">
        <w:t xml:space="preserve">26 </w:t>
      </w:r>
      <w:r>
        <w:t xml:space="preserve">bathing waters have been newly reported in the recent season. 97% of bathing waters in Croatia are of coastal type; the other 3% are inland. </w:t>
      </w:r>
      <w:r>
        <w:rPr>
          <w:b/>
        </w:rPr>
        <w:t>9712 samples</w:t>
      </w:r>
      <w:r>
        <w:t xml:space="preserve"> were taken at bathing waters throughout the season – 10 per bathing water on average.</w:t>
      </w:r>
    </w:p>
    <w:p w:rsidR="00B835B3" w:rsidRDefault="00B835B3" w:rsidP="00ED3BDC"/>
    <w:p w:rsidR="00B835B3" w:rsidRDefault="002B438D" w:rsidP="00ED3BDC">
      <w:r>
        <w:lastRenderedPageBreak/>
        <w:t xml:space="preserve">The maximum bathing season period was from 1 June to 5 October for coastal bathing waters, i.e. 127 days altogether. </w:t>
      </w:r>
      <w:r w:rsidR="00E61218">
        <w:t>Maximum inland bathing season period was from 1 June to 15 September, i.e. 107 days.</w:t>
      </w:r>
      <w:r w:rsidR="00A55FCB">
        <w:t xml:space="preserve"> </w:t>
      </w:r>
      <w:r w:rsidR="00E61218">
        <w:t>Season duration varie</w:t>
      </w:r>
      <w:r w:rsidR="00A55FCB">
        <w:t>s for inland bathing waters.</w:t>
      </w:r>
    </w:p>
    <w:p w:rsidR="00B835B3" w:rsidRDefault="00B835B3" w:rsidP="00ED3BDC"/>
    <w:p w:rsidR="00B835B3" w:rsidRDefault="002B438D" w:rsidP="00ED3BDC">
      <w:r>
        <w:t>Detailed information on bathing waters is available from nationa</w:t>
      </w:r>
      <w:r w:rsidR="00A55FCB">
        <w:t xml:space="preserve">l portal at </w:t>
      </w:r>
      <w:hyperlink r:id="rId9" w:history="1">
        <w:r w:rsidR="00A55FCB" w:rsidRPr="003F4ABB">
          <w:rPr>
            <w:rStyle w:val="Hyperlink"/>
          </w:rPr>
          <w:t>http://www.haop.hr/</w:t>
        </w:r>
      </w:hyperlink>
      <w:r>
        <w:t>.</w:t>
      </w:r>
    </w:p>
    <w:p w:rsidR="00B835B3" w:rsidRDefault="00B835B3" w:rsidP="00ED3BDC"/>
    <w:p w:rsidR="00B835B3" w:rsidRDefault="00B835B3" w:rsidP="00ED3BDC"/>
    <w:p w:rsidR="00B835B3" w:rsidRDefault="002B438D" w:rsidP="00ED3BDC">
      <w:pPr>
        <w:pStyle w:val="Heading1"/>
      </w:pPr>
      <w:r>
        <w:t>Assessment methodology</w:t>
      </w:r>
      <w:r>
        <w:rPr>
          <w:rStyle w:val="FootnoteReference"/>
        </w:rPr>
        <w:footnoteReference w:id="4"/>
      </w:r>
    </w:p>
    <w:p w:rsidR="00B835B3" w:rsidRDefault="00B835B3" w:rsidP="00ED3BDC"/>
    <w:p w:rsidR="00B835B3"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B835B3" w:rsidRDefault="00B835B3" w:rsidP="00ED3BDC"/>
    <w:p w:rsidR="00B835B3" w:rsidRDefault="003F038E" w:rsidP="00ED3BDC">
      <w:r>
        <w:t>The monitoring requirements under the Directive are:</w:t>
      </w:r>
    </w:p>
    <w:p w:rsidR="00B835B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B835B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B835B3"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B835B3" w:rsidRDefault="00B835B3" w:rsidP="00ED3BDC"/>
    <w:p w:rsidR="00B835B3" w:rsidRDefault="003F038E" w:rsidP="003F038E">
      <w:r>
        <w:t xml:space="preserve">If these rules are satisfied, the bathing water is categorised as 'sampling frequency satisfied'. If not all monitoring requirements are fulfilled the bathing water is categorised as 'not enough samples'. 93.8%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B835B3" w:rsidRDefault="00B835B3" w:rsidP="00ED3BDC"/>
    <w:p w:rsidR="00B835B3"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B835B3" w:rsidTr="00484359">
        <w:trPr>
          <w:trHeight w:val="343"/>
        </w:trPr>
        <w:tc>
          <w:tcPr>
            <w:tcW w:w="6379" w:type="dxa"/>
            <w:shd w:val="clear" w:color="auto" w:fill="F2F2F2" w:themeFill="background1" w:themeFillShade="F2"/>
            <w:vAlign w:val="center"/>
          </w:tcPr>
          <w:p w:rsidR="00B835B3" w:rsidRDefault="00B835B3" w:rsidP="00484359">
            <w:pPr>
              <w:jc w:val="left"/>
              <w:rPr>
                <w:rFonts w:asciiTheme="minorHAnsi" w:hAnsiTheme="minorHAnsi"/>
                <w:b/>
                <w:sz w:val="20"/>
              </w:rPr>
            </w:pPr>
          </w:p>
        </w:tc>
        <w:tc>
          <w:tcPr>
            <w:tcW w:w="1701" w:type="dxa"/>
            <w:shd w:val="clear" w:color="auto" w:fill="F2F2F2" w:themeFill="background1" w:themeFillShade="F2"/>
            <w:vAlign w:val="center"/>
          </w:tcPr>
          <w:p w:rsidR="00B835B3"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B835B3" w:rsidRDefault="00484359" w:rsidP="00484359">
            <w:pPr>
              <w:jc w:val="left"/>
              <w:rPr>
                <w:rFonts w:asciiTheme="minorHAnsi" w:hAnsiTheme="minorHAnsi"/>
                <w:b/>
                <w:sz w:val="20"/>
              </w:rPr>
            </w:pPr>
            <w:r>
              <w:rPr>
                <w:rFonts w:asciiTheme="minorHAnsi" w:hAnsiTheme="minorHAnsi"/>
                <w:b/>
                <w:sz w:val="20"/>
              </w:rPr>
              <w:t>Share of total [%]</w:t>
            </w:r>
          </w:p>
        </w:tc>
      </w:tr>
      <w:tr w:rsidR="00B835B3" w:rsidTr="00484359">
        <w:tc>
          <w:tcPr>
            <w:tcW w:w="6379" w:type="dxa"/>
          </w:tcPr>
          <w:p w:rsidR="00B835B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B835B3"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B835B3" w:rsidRDefault="006D2330" w:rsidP="00B14C10">
            <w:pPr>
              <w:jc w:val="right"/>
              <w:rPr>
                <w:rFonts w:asciiTheme="minorHAnsi" w:hAnsiTheme="minorHAnsi"/>
                <w:sz w:val="20"/>
              </w:rPr>
            </w:pPr>
            <w:r>
              <w:rPr>
                <w:rFonts w:asciiTheme="minorHAnsi" w:hAnsiTheme="minorHAnsi"/>
                <w:sz w:val="20"/>
              </w:rPr>
              <w:t>915</w:t>
            </w:r>
          </w:p>
        </w:tc>
        <w:tc>
          <w:tcPr>
            <w:tcW w:w="1701" w:type="dxa"/>
            <w:vAlign w:val="center"/>
          </w:tcPr>
          <w:p w:rsidR="00B835B3" w:rsidRDefault="004D61EC" w:rsidP="00B14C10">
            <w:pPr>
              <w:jc w:val="right"/>
              <w:rPr>
                <w:rFonts w:asciiTheme="minorHAnsi" w:hAnsiTheme="minorHAnsi"/>
                <w:b/>
                <w:sz w:val="20"/>
              </w:rPr>
            </w:pPr>
            <w:r>
              <w:rPr>
                <w:rFonts w:asciiTheme="minorHAnsi" w:hAnsiTheme="minorHAnsi"/>
                <w:sz w:val="20"/>
              </w:rPr>
              <w:t>93.8%</w:t>
            </w:r>
          </w:p>
        </w:tc>
      </w:tr>
      <w:tr w:rsidR="00B835B3" w:rsidTr="00484359">
        <w:tc>
          <w:tcPr>
            <w:tcW w:w="6379" w:type="dxa"/>
          </w:tcPr>
          <w:p w:rsidR="00B835B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B835B3"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B835B3" w:rsidRDefault="006710BD" w:rsidP="00B14C10">
            <w:pPr>
              <w:jc w:val="right"/>
              <w:rPr>
                <w:rFonts w:asciiTheme="minorHAnsi" w:hAnsiTheme="minorHAnsi"/>
                <w:b/>
                <w:sz w:val="20"/>
              </w:rPr>
            </w:pPr>
            <w:r>
              <w:rPr>
                <w:rFonts w:asciiTheme="minorHAnsi" w:hAnsiTheme="minorHAnsi"/>
                <w:sz w:val="20"/>
              </w:rPr>
              <w:t>17</w:t>
            </w:r>
          </w:p>
        </w:tc>
        <w:tc>
          <w:tcPr>
            <w:tcW w:w="1701" w:type="dxa"/>
            <w:vAlign w:val="center"/>
          </w:tcPr>
          <w:p w:rsidR="00B835B3" w:rsidRDefault="004D61EC" w:rsidP="00484359">
            <w:pPr>
              <w:jc w:val="right"/>
              <w:rPr>
                <w:rFonts w:asciiTheme="minorHAnsi" w:hAnsiTheme="minorHAnsi"/>
                <w:b/>
                <w:sz w:val="20"/>
              </w:rPr>
            </w:pPr>
            <w:r>
              <w:rPr>
                <w:rFonts w:asciiTheme="minorHAnsi" w:hAnsiTheme="minorHAnsi"/>
                <w:sz w:val="20"/>
              </w:rPr>
              <w:t>1.7%</w:t>
            </w:r>
          </w:p>
        </w:tc>
      </w:tr>
      <w:tr w:rsidR="00B835B3" w:rsidTr="00484359">
        <w:tc>
          <w:tcPr>
            <w:tcW w:w="6379" w:type="dxa"/>
          </w:tcPr>
          <w:p w:rsidR="00B835B3"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B835B3"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B835B3" w:rsidRDefault="006710BD" w:rsidP="00B14C10">
            <w:pPr>
              <w:jc w:val="right"/>
              <w:rPr>
                <w:rFonts w:asciiTheme="minorHAnsi" w:hAnsiTheme="minorHAnsi"/>
                <w:b/>
                <w:sz w:val="20"/>
              </w:rPr>
            </w:pPr>
            <w:r>
              <w:rPr>
                <w:rFonts w:asciiTheme="minorHAnsi" w:hAnsiTheme="minorHAnsi"/>
                <w:sz w:val="20"/>
              </w:rPr>
              <w:t>44</w:t>
            </w:r>
          </w:p>
        </w:tc>
        <w:tc>
          <w:tcPr>
            <w:tcW w:w="1701" w:type="dxa"/>
            <w:vAlign w:val="center"/>
          </w:tcPr>
          <w:p w:rsidR="00B835B3" w:rsidRDefault="004D61EC" w:rsidP="00B14C10">
            <w:pPr>
              <w:jc w:val="right"/>
              <w:rPr>
                <w:rFonts w:asciiTheme="minorHAnsi" w:hAnsiTheme="minorHAnsi"/>
                <w:b/>
                <w:sz w:val="20"/>
              </w:rPr>
            </w:pPr>
            <w:r>
              <w:rPr>
                <w:rFonts w:asciiTheme="minorHAnsi" w:hAnsiTheme="minorHAnsi"/>
                <w:sz w:val="20"/>
              </w:rPr>
              <w:t>4.5%</w:t>
            </w:r>
          </w:p>
        </w:tc>
      </w:tr>
      <w:tr w:rsidR="00B835B3" w:rsidTr="00484359">
        <w:trPr>
          <w:trHeight w:val="323"/>
        </w:trPr>
        <w:tc>
          <w:tcPr>
            <w:tcW w:w="6379" w:type="dxa"/>
            <w:shd w:val="clear" w:color="auto" w:fill="F2F2F2" w:themeFill="background1" w:themeFillShade="F2"/>
            <w:vAlign w:val="center"/>
          </w:tcPr>
          <w:p w:rsidR="00B835B3"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B835B3" w:rsidRDefault="00993FEC" w:rsidP="00484359">
            <w:pPr>
              <w:jc w:val="right"/>
              <w:rPr>
                <w:rFonts w:asciiTheme="minorHAnsi" w:hAnsiTheme="minorHAnsi"/>
                <w:b/>
                <w:sz w:val="20"/>
              </w:rPr>
            </w:pPr>
            <w:r>
              <w:rPr>
                <w:rFonts w:asciiTheme="minorHAnsi" w:hAnsiTheme="minorHAnsi"/>
                <w:b/>
                <w:sz w:val="20"/>
              </w:rPr>
              <w:t>976</w:t>
            </w:r>
          </w:p>
        </w:tc>
        <w:tc>
          <w:tcPr>
            <w:tcW w:w="1701" w:type="dxa"/>
            <w:shd w:val="clear" w:color="auto" w:fill="F2F2F2" w:themeFill="background1" w:themeFillShade="F2"/>
            <w:vAlign w:val="center"/>
          </w:tcPr>
          <w:p w:rsidR="00B835B3" w:rsidRDefault="004943BD" w:rsidP="004943BD">
            <w:pPr>
              <w:jc w:val="right"/>
              <w:rPr>
                <w:rFonts w:asciiTheme="minorHAnsi" w:hAnsiTheme="minorHAnsi"/>
                <w:b/>
                <w:sz w:val="20"/>
              </w:rPr>
            </w:pPr>
            <w:r>
              <w:rPr>
                <w:rFonts w:asciiTheme="minorHAnsi" w:hAnsiTheme="minorHAnsi"/>
                <w:b/>
                <w:sz w:val="20"/>
              </w:rPr>
              <w:t>100%</w:t>
            </w:r>
          </w:p>
        </w:tc>
      </w:tr>
    </w:tbl>
    <w:p w:rsidR="00B835B3" w:rsidRDefault="00B835B3" w:rsidP="00ED3BDC"/>
    <w:p w:rsidR="00B835B3"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B835B3" w:rsidRDefault="00B835B3" w:rsidP="00ED3BDC"/>
    <w:p w:rsidR="00B835B3"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B835B3" w:rsidRDefault="00B835B3" w:rsidP="00ED3BDC"/>
    <w:p w:rsidR="00B835B3" w:rsidRDefault="002F24A6" w:rsidP="002F24A6">
      <w:r>
        <w:t>Quality assessment is not possible for all bathing waters. In these cases, they are instead classified as either:</w:t>
      </w:r>
    </w:p>
    <w:p w:rsidR="00B835B3" w:rsidRDefault="002F24A6" w:rsidP="002F24A6">
      <w:pPr>
        <w:ind w:firstLine="284"/>
      </w:pPr>
      <w:r>
        <w:t>• not enough samples</w:t>
      </w:r>
      <w:r>
        <w:rPr>
          <w:rStyle w:val="FootnoteReference"/>
        </w:rPr>
        <w:footnoteReference w:id="8"/>
      </w:r>
      <w:r>
        <w:t>;</w:t>
      </w:r>
    </w:p>
    <w:p w:rsidR="00B835B3" w:rsidRDefault="002F24A6" w:rsidP="002F24A6">
      <w:pPr>
        <w:ind w:firstLine="284"/>
      </w:pPr>
      <w:r>
        <w:t>• new</w:t>
      </w:r>
      <w:r>
        <w:rPr>
          <w:rStyle w:val="FootnoteReference"/>
        </w:rPr>
        <w:footnoteReference w:id="9"/>
      </w:r>
      <w:r>
        <w:t>;</w:t>
      </w:r>
    </w:p>
    <w:p w:rsidR="00B835B3" w:rsidRDefault="00783E42" w:rsidP="00783E42">
      <w:pPr>
        <w:ind w:firstLine="284"/>
      </w:pPr>
      <w:r>
        <w:t>• changes</w:t>
      </w:r>
      <w:r>
        <w:rPr>
          <w:rStyle w:val="FootnoteReference"/>
        </w:rPr>
        <w:footnoteReference w:id="10"/>
      </w:r>
      <w:r>
        <w:t>;</w:t>
      </w:r>
    </w:p>
    <w:p w:rsidR="00B835B3" w:rsidRDefault="00783E42" w:rsidP="00783E42">
      <w:pPr>
        <w:ind w:firstLine="284"/>
      </w:pPr>
      <w:r>
        <w:t>• closed</w:t>
      </w:r>
      <w:r>
        <w:rPr>
          <w:rStyle w:val="FootnoteReference"/>
        </w:rPr>
        <w:footnoteReference w:id="11"/>
      </w:r>
      <w:r>
        <w:t>.</w:t>
      </w:r>
    </w:p>
    <w:p w:rsidR="00B835B3" w:rsidRDefault="00B835B3" w:rsidP="00AF3F74"/>
    <w:p w:rsidR="00B835B3" w:rsidRDefault="00B835B3" w:rsidP="00ED3BDC"/>
    <w:p w:rsidR="00B835B3" w:rsidRDefault="002B438D" w:rsidP="00ED3BDC">
      <w:pPr>
        <w:pStyle w:val="Heading1"/>
      </w:pPr>
      <w:r>
        <w:t>Bathing water quality</w:t>
      </w:r>
    </w:p>
    <w:p w:rsidR="00B835B3" w:rsidRDefault="00B835B3" w:rsidP="00ED3BDC"/>
    <w:p w:rsidR="00B835B3" w:rsidRDefault="002B438D" w:rsidP="00ED3BDC">
      <w:r>
        <w:t>The results of the bathing water quality in Croatia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B835B3" w:rsidRDefault="00B835B3" w:rsidP="00ED3BDC"/>
    <w:p w:rsidR="00A55FCB" w:rsidRDefault="00A55FCB" w:rsidP="00ED3BDC"/>
    <w:p w:rsidR="00A55FCB" w:rsidRDefault="00A55FCB" w:rsidP="00ED3BDC"/>
    <w:p w:rsidR="00A55FCB" w:rsidRDefault="00A55FCB" w:rsidP="00ED3BDC"/>
    <w:p w:rsidR="00A55FCB" w:rsidRDefault="00A55FCB" w:rsidP="00ED3BDC"/>
    <w:p w:rsidR="00A55FCB" w:rsidRDefault="00A55FCB" w:rsidP="00ED3BDC"/>
    <w:p w:rsidR="00A55FCB" w:rsidRDefault="00A55FCB" w:rsidP="00ED3BDC"/>
    <w:p w:rsidR="00B835B3" w:rsidRDefault="002B438D" w:rsidP="00ED3BDC">
      <w:pPr>
        <w:pStyle w:val="Heading2"/>
      </w:pPr>
      <w:r>
        <w:lastRenderedPageBreak/>
        <w:t>Coastal bathing waters</w:t>
      </w:r>
    </w:p>
    <w:p w:rsidR="00B835B3" w:rsidRDefault="00B835B3" w:rsidP="00ED3BDC"/>
    <w:p w:rsidR="00B835B3" w:rsidRDefault="002B438D" w:rsidP="00ED3BDC">
      <w:r>
        <w:t xml:space="preserve">In Croatia, 96.9% of all existing coastal bathing waters met at least sufficient water quality standards in 2017. See Appendix 1 for numeric data. </w:t>
      </w:r>
    </w:p>
    <w:p w:rsidR="00B835B3" w:rsidRDefault="00B835B3" w:rsidP="00ED3BDC"/>
    <w:p w:rsidR="00B835B3"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35B3"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Croatia. </w:t>
      </w:r>
      <w:r>
        <w:rPr>
          <w:b w:val="0"/>
        </w:rPr>
        <w:t>Note: the “At least sufficient” class also includes bathing waters of “Excellent” quality class, the sum of shares is therefore not 100%.</w:t>
      </w:r>
      <w:r>
        <w:t xml:space="preserve"> </w:t>
      </w:r>
    </w:p>
    <w:p w:rsidR="00B835B3" w:rsidRDefault="00B835B3" w:rsidP="00ED3BDC"/>
    <w:p w:rsidR="00B835B3" w:rsidRDefault="00B835B3" w:rsidP="00ED3BDC"/>
    <w:p w:rsidR="00B835B3" w:rsidRDefault="002B438D" w:rsidP="00ED3BDC">
      <w:pPr>
        <w:pStyle w:val="Heading2"/>
      </w:pPr>
      <w:r>
        <w:t>Inland bathing waters</w:t>
      </w:r>
    </w:p>
    <w:p w:rsidR="00B835B3" w:rsidRDefault="00B835B3" w:rsidP="00ED3BDC"/>
    <w:p w:rsidR="00B835B3" w:rsidRDefault="007C239B" w:rsidP="002318DD">
      <w:r>
        <w:t>29.6% of all existing inland bathing waters were of at least sufficient water quality in 2017. See Appendix 1 for numeric data.</w:t>
      </w:r>
      <w:bookmarkStart w:id="1" w:name="OLE_LINK19"/>
      <w:bookmarkStart w:id="2" w:name="OLE_LINK20"/>
      <w:r>
        <w:t xml:space="preserve"> </w:t>
      </w:r>
    </w:p>
    <w:p w:rsidR="00B835B3" w:rsidRDefault="00B835B3" w:rsidP="002318DD"/>
    <w:p w:rsidR="00B835B3"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B835B3"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Croatia. </w:t>
      </w:r>
      <w:r>
        <w:rPr>
          <w:b w:val="0"/>
        </w:rPr>
        <w:t>Note: the “At least sufficient” class also includes bathing waters of “Excellent” quality class, the sum of shares is therefore not 100%.</w:t>
      </w:r>
      <w:r>
        <w:t xml:space="preserve"> </w:t>
      </w:r>
    </w:p>
    <w:p w:rsidR="00B835B3" w:rsidRDefault="00B835B3" w:rsidP="00ED3BDC">
      <w:pPr>
        <w:pStyle w:val="Caption"/>
      </w:pPr>
    </w:p>
    <w:p w:rsidR="00B835B3" w:rsidRDefault="00B835B3" w:rsidP="00ED3BDC"/>
    <w:p w:rsidR="00B835B3" w:rsidRDefault="00B835B3" w:rsidP="00ED3BDC"/>
    <w:p w:rsidR="00B835B3"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B835B3" w:rsidRDefault="00B835B3" w:rsidP="00ED3BDC"/>
    <w:p w:rsidR="00A55FCB" w:rsidRDefault="00A55FCB" w:rsidP="00A55FCB">
      <w:r>
        <w:t>Bathing water quality monitoring is carried out under Regulation on sea bathing water quality (</w:t>
      </w:r>
      <w:proofErr w:type="spellStart"/>
      <w:r>
        <w:t>OG</w:t>
      </w:r>
      <w:proofErr w:type="spellEnd"/>
      <w:r>
        <w:t xml:space="preserve"> 73/08) and Regulation on bathing water quality (</w:t>
      </w:r>
      <w:proofErr w:type="spellStart"/>
      <w:r>
        <w:t>OG</w:t>
      </w:r>
      <w:proofErr w:type="spellEnd"/>
      <w:r>
        <w:t xml:space="preserve"> 51/14). Regulations set out standards for bathing water quality at the coastal, transitional and inland beaches, establish the limit values for microbiological parameters and other characteristics of the coastal, transitional and inland waters.  In order to achieve the required standards, management measures for the bathing waters were established.</w:t>
      </w:r>
    </w:p>
    <w:p w:rsidR="00A55FCB" w:rsidRDefault="00A55FCB" w:rsidP="00A55FCB"/>
    <w:p w:rsidR="00A55FCB" w:rsidRDefault="00A55FCB" w:rsidP="00A55FCB">
      <w:r>
        <w:t>The bathing season in Croatia is the period from 1 June until 15 September, unless due to weather conditions and local customs, the representative body of the county issues a decision on the bathing season lasting for a longer period of time. Monitoring of bathing water quality at sea beaches lasts from 15 May until 30 September. Before each bathing season the county is obliged to determine sampling points. Before the start of each bathing season the authorised person is obliged to determine monitoring calendar consistent with the relevant administrative body in the county. Bathing water monitoring has to start no later than four days from the date specified in the calendar.</w:t>
      </w:r>
    </w:p>
    <w:p w:rsidR="00A55FCB" w:rsidRDefault="00A55FCB" w:rsidP="00A55FCB"/>
    <w:p w:rsidR="00A55FCB" w:rsidRDefault="00A55FCB" w:rsidP="00A55FCB">
      <w:r>
        <w:t>Based on bathing water quality monitoring results individual, annual and final assessments are made. The individual assessment is determined after each analysis carried out during the bathing season, according to the limit values for the microbiological parameters referred by the Regulation. The annual assessment is determined after the end of the bathing season, based on a set of data on bathing water quality for that particular bathing season, according to the limit values for the microbiological parameters referred by the Regulation.</w:t>
      </w:r>
    </w:p>
    <w:p w:rsidR="00A55FCB" w:rsidRDefault="00A55FCB" w:rsidP="00A55FCB"/>
    <w:p w:rsidR="00A55FCB" w:rsidRDefault="00A55FCB" w:rsidP="00A55FCB">
      <w:r>
        <w:t>The final assessment is determined after the end of the last bathing season and the three preceding bathing seasons, according to the limit values for the microbiological parameters referred by the Regulation, based on a data set of at least 28 samples for each sampling point.</w:t>
      </w:r>
    </w:p>
    <w:p w:rsidR="00A55FCB" w:rsidRDefault="00A55FCB" w:rsidP="00A55FCB"/>
    <w:p w:rsidR="00A55FCB" w:rsidRDefault="00A55FCB" w:rsidP="00A55FCB">
      <w:r>
        <w:t xml:space="preserve">Monitoring data are available for public on the internet, where users are allowed to make comments and suggestion considering </w:t>
      </w:r>
      <w:proofErr w:type="gramStart"/>
      <w:r>
        <w:t>each bathing water</w:t>
      </w:r>
      <w:proofErr w:type="gramEnd"/>
      <w:r>
        <w:t>, to propose new sampling points, to get additional information of the beaches and even to report on possible sudden and short term pollutions. For inland bathing waters monitoring data are available on http://baltazar.izor.hr/plazekpub/kakvoca. A constant increase in the number of web visitors was detected on this web site in the past few years, which shows, that web users have recognised this page as a valuable source of information. Monitoring data for coastal bathing waters are available on http://baltazar.izor.hr/plazepub/kakvoca_detalji10. Most of the suggestions for new sampling points referred to the most interesting beaches, while most of the comments from public were reports of pollutions, and there were also some praises. The application for mobile phones which makes uses of modern technologies, such as GPS was produced in 2012. Bathing water profiles are available for majority of bathing waters as well and the major parts of profiles ar</w:t>
      </w:r>
      <w:r>
        <w:t>e publicly available from 2014.</w:t>
      </w:r>
    </w:p>
    <w:p w:rsidR="00A55FCB" w:rsidRDefault="00A55FCB" w:rsidP="00A55FCB"/>
    <w:p w:rsidR="00A55FCB" w:rsidRDefault="00A55FCB" w:rsidP="00A55FCB">
      <w:r>
        <w:t xml:space="preserve">In 2003 the project “Coastal Cities Water Pollution Control Project” has started. It includes 47 subprojects for construction and modernization of sewage systems and waste water treatment along the coast of the mainland and islands.  The project has a long-term character. By the end of the third phase it is envisaged that all Croatian coast and islands will be adequately covered with sewage systems </w:t>
      </w:r>
      <w:r>
        <w:lastRenderedPageBreak/>
        <w:t xml:space="preserve">and waste water treatment plants. The situation has been already improved in the area around the cities of Rijeka, </w:t>
      </w:r>
      <w:proofErr w:type="spellStart"/>
      <w:r>
        <w:t>Opatija</w:t>
      </w:r>
      <w:proofErr w:type="spellEnd"/>
      <w:r>
        <w:t xml:space="preserve">, </w:t>
      </w:r>
      <w:proofErr w:type="spellStart"/>
      <w:r>
        <w:t>Zadar</w:t>
      </w:r>
      <w:proofErr w:type="spellEnd"/>
      <w:r>
        <w:t xml:space="preserve"> and </w:t>
      </w:r>
      <w:proofErr w:type="spellStart"/>
      <w:r>
        <w:t>Šibenik</w:t>
      </w:r>
      <w:proofErr w:type="spellEnd"/>
      <w:r>
        <w:t xml:space="preserve"> which is evident from the bathing water quality trends.</w:t>
      </w:r>
    </w:p>
    <w:p w:rsidR="00A55FCB" w:rsidRDefault="00A55FCB" w:rsidP="00A55FCB"/>
    <w:p w:rsidR="00A55FCB" w:rsidRDefault="00A55FCB" w:rsidP="00A55FCB">
      <w:r>
        <w:t xml:space="preserve">Implementation of Marine strategy framework directive </w:t>
      </w:r>
      <w:proofErr w:type="spellStart"/>
      <w:r>
        <w:t>MSFD</w:t>
      </w:r>
      <w:proofErr w:type="spellEnd"/>
      <w:r>
        <w:t xml:space="preserve"> is also on-going and it is expected that by the 2018 Monitoring program for </w:t>
      </w:r>
      <w:proofErr w:type="spellStart"/>
      <w:r>
        <w:t>ongoing</w:t>
      </w:r>
      <w:proofErr w:type="spellEnd"/>
      <w:r>
        <w:t xml:space="preserve"> assessment regarding all eleven </w:t>
      </w:r>
      <w:proofErr w:type="spellStart"/>
      <w:r>
        <w:t>MSFD</w:t>
      </w:r>
      <w:proofErr w:type="spellEnd"/>
      <w:r>
        <w:t xml:space="preserve"> descrip</w:t>
      </w:r>
      <w:r>
        <w:t>tors will be fully implemented.</w:t>
      </w:r>
    </w:p>
    <w:p w:rsidR="00A55FCB" w:rsidRDefault="00A55FCB" w:rsidP="00A55FCB"/>
    <w:p w:rsidR="00A55FCB" w:rsidRDefault="00A55FCB" w:rsidP="00A55FCB">
      <w:r>
        <w:t xml:space="preserve">Additional details on coastal bathing water monitoring, management measures, short-term pollutions and general implementation of the </w:t>
      </w:r>
      <w:proofErr w:type="spellStart"/>
      <w:r>
        <w:t>BWD</w:t>
      </w:r>
      <w:proofErr w:type="spellEnd"/>
      <w:r>
        <w:t xml:space="preserve"> are included in an extensive report produced by the national authorities (in Croatian; </w:t>
      </w:r>
      <w:hyperlink r:id="rId12" w:history="1">
        <w:r w:rsidRPr="003F4ABB">
          <w:rPr>
            <w:rStyle w:val="Hyperlink"/>
          </w:rPr>
          <w:t>http://www.mzoip.hr/doc/izvjesce_o_kakvoci_mora_za_kupanje_u_rh_2017.pdf</w:t>
        </w:r>
      </w:hyperlink>
      <w:r>
        <w:t>).</w:t>
      </w:r>
    </w:p>
    <w:p w:rsidR="00A55FCB" w:rsidRDefault="00A55FCB" w:rsidP="00A55FCB"/>
    <w:p w:rsidR="00B835B3" w:rsidRDefault="00A55FCB" w:rsidP="00A55FCB">
      <w:r>
        <w:t xml:space="preserve">For the 2017 bathing season, 20 short-term pollutions (on 19 distinct bathing waters) have been reported in Croatia. Five of these short-time pollutions were reported at an inland bathing area (at </w:t>
      </w:r>
      <w:proofErr w:type="gramStart"/>
      <w:r>
        <w:t>lake</w:t>
      </w:r>
      <w:proofErr w:type="gramEnd"/>
      <w:r>
        <w:t xml:space="preserve"> </w:t>
      </w:r>
      <w:proofErr w:type="spellStart"/>
      <w:r>
        <w:t>Jarun</w:t>
      </w:r>
      <w:proofErr w:type="spellEnd"/>
      <w:r>
        <w:t xml:space="preserve">, which includes 16 sampling points), while other short-time pollutions were recorded among the coastal bathing waters. Some among the (potential) reasons for short-time pollutions were for instance heavy precipitations and consequent inlet of storm water from land into the sea; overflow of </w:t>
      </w:r>
      <w:proofErr w:type="spellStart"/>
      <w:r>
        <w:t>fecal</w:t>
      </w:r>
      <w:proofErr w:type="spellEnd"/>
      <w:r>
        <w:t xml:space="preserve"> water from septic tanks; etc. There were no abnormal situations in 2017.</w:t>
      </w:r>
    </w:p>
    <w:p w:rsidR="00B835B3" w:rsidRDefault="00B835B3" w:rsidP="00ED3BDC"/>
    <w:p w:rsidR="00A55FCB" w:rsidRDefault="00A55FCB" w:rsidP="00ED3BDC"/>
    <w:p w:rsidR="00B835B3" w:rsidRDefault="0024729D" w:rsidP="00ED3BDC">
      <w:pPr>
        <w:pStyle w:val="Heading1"/>
      </w:pPr>
      <w:r>
        <w:t>Bathing water quality assessment presentation in online viewers</w:t>
      </w:r>
    </w:p>
    <w:p w:rsidR="00B835B3" w:rsidRDefault="00B835B3" w:rsidP="00ED3BDC"/>
    <w:p w:rsidR="00B835B3"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B835B3" w:rsidRDefault="00B835B3" w:rsidP="00EC573D"/>
    <w:p w:rsidR="00B835B3"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B835B3" w:rsidRDefault="002B438D" w:rsidP="003E2BA0">
      <w:r>
        <w:br w:type="page"/>
      </w:r>
    </w:p>
    <w:p w:rsidR="00B835B3" w:rsidRDefault="002B438D" w:rsidP="00ED3BDC">
      <w:pPr>
        <w:rPr>
          <w:b/>
          <w:sz w:val="28"/>
        </w:rPr>
      </w:pPr>
      <w:r>
        <w:rPr>
          <w:b/>
          <w:sz w:val="28"/>
        </w:rPr>
        <w:lastRenderedPageBreak/>
        <w:t>Appendix 1: Results of bathing water quality in Croatia from 2014 to 2017</w:t>
      </w:r>
    </w:p>
    <w:p w:rsidR="00B835B3" w:rsidRDefault="00B835B3" w:rsidP="00ED3BDC"/>
    <w:p w:rsidR="00B835B3"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B835B3" w:rsidTr="005F5E3F">
        <w:tc>
          <w:tcPr>
            <w:tcW w:w="1276" w:type="dxa"/>
            <w:gridSpan w:val="2"/>
            <w:vMerge w:val="restart"/>
            <w:shd w:val="clear" w:color="auto" w:fill="F2F2F2" w:themeFill="background1" w:themeFillShade="F2"/>
          </w:tcPr>
          <w:p w:rsidR="00B835B3" w:rsidRDefault="00B835B3"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B835B3" w:rsidRDefault="005F5E3F" w:rsidP="00B853E1">
            <w:pPr>
              <w:jc w:val="center"/>
              <w:rPr>
                <w:rFonts w:asciiTheme="minorHAnsi" w:hAnsiTheme="minorHAnsi"/>
                <w:b/>
                <w:sz w:val="20"/>
                <w:szCs w:val="20"/>
              </w:rPr>
            </w:pPr>
            <w:r>
              <w:rPr>
                <w:rFonts w:asciiTheme="minorHAnsi" w:hAnsiTheme="minorHAnsi"/>
                <w:b/>
                <w:sz w:val="20"/>
                <w:szCs w:val="20"/>
              </w:rPr>
              <w:t>Total</w:t>
            </w:r>
          </w:p>
          <w:p w:rsidR="00B835B3" w:rsidRDefault="005F5E3F" w:rsidP="00B853E1">
            <w:pPr>
              <w:jc w:val="center"/>
              <w:rPr>
                <w:rFonts w:asciiTheme="minorHAnsi" w:hAnsiTheme="minorHAnsi"/>
                <w:b/>
                <w:sz w:val="20"/>
                <w:szCs w:val="20"/>
              </w:rPr>
            </w:pPr>
            <w:r>
              <w:rPr>
                <w:rFonts w:asciiTheme="minorHAnsi" w:hAnsiTheme="minorHAnsi"/>
                <w:b/>
                <w:sz w:val="20"/>
                <w:szCs w:val="20"/>
              </w:rPr>
              <w:t>number</w:t>
            </w:r>
          </w:p>
          <w:p w:rsidR="00B835B3" w:rsidRDefault="005F5E3F" w:rsidP="00B853E1">
            <w:pPr>
              <w:jc w:val="center"/>
              <w:rPr>
                <w:rFonts w:asciiTheme="minorHAnsi" w:hAnsiTheme="minorHAnsi"/>
                <w:b/>
                <w:sz w:val="20"/>
                <w:szCs w:val="20"/>
              </w:rPr>
            </w:pPr>
            <w:r>
              <w:rPr>
                <w:rFonts w:asciiTheme="minorHAnsi" w:hAnsiTheme="minorHAnsi"/>
                <w:b/>
                <w:sz w:val="20"/>
                <w:szCs w:val="20"/>
              </w:rPr>
              <w:t>of</w:t>
            </w:r>
          </w:p>
          <w:p w:rsidR="00B835B3" w:rsidRDefault="005F5E3F" w:rsidP="00B853E1">
            <w:pPr>
              <w:jc w:val="center"/>
              <w:rPr>
                <w:rFonts w:asciiTheme="minorHAnsi" w:hAnsiTheme="minorHAnsi"/>
                <w:b/>
                <w:sz w:val="20"/>
                <w:szCs w:val="20"/>
              </w:rPr>
            </w:pPr>
            <w:r>
              <w:rPr>
                <w:rFonts w:asciiTheme="minorHAnsi" w:hAnsiTheme="minorHAnsi"/>
                <w:b/>
                <w:sz w:val="20"/>
                <w:szCs w:val="20"/>
              </w:rPr>
              <w:t>bathing</w:t>
            </w:r>
          </w:p>
          <w:p w:rsidR="00B835B3"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B835B3"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B835B3" w:rsidRDefault="005F5E3F" w:rsidP="00B853E1">
            <w:pPr>
              <w:jc w:val="center"/>
              <w:rPr>
                <w:rFonts w:asciiTheme="minorHAnsi" w:hAnsiTheme="minorHAnsi"/>
                <w:b/>
                <w:sz w:val="20"/>
                <w:szCs w:val="20"/>
              </w:rPr>
            </w:pPr>
            <w:r>
              <w:rPr>
                <w:rFonts w:asciiTheme="minorHAnsi" w:hAnsiTheme="minorHAnsi"/>
                <w:b/>
                <w:sz w:val="20"/>
                <w:szCs w:val="20"/>
              </w:rPr>
              <w:t>At least</w:t>
            </w:r>
          </w:p>
          <w:p w:rsidR="00B835B3" w:rsidRDefault="005F5E3F" w:rsidP="00B853E1">
            <w:pPr>
              <w:jc w:val="center"/>
              <w:rPr>
                <w:rFonts w:asciiTheme="minorHAnsi" w:hAnsiTheme="minorHAnsi"/>
                <w:b/>
                <w:sz w:val="20"/>
                <w:szCs w:val="20"/>
              </w:rPr>
            </w:pPr>
            <w:r>
              <w:rPr>
                <w:rFonts w:asciiTheme="minorHAnsi" w:hAnsiTheme="minorHAnsi"/>
                <w:b/>
                <w:sz w:val="20"/>
                <w:szCs w:val="20"/>
              </w:rPr>
              <w:t>sufficient</w:t>
            </w:r>
          </w:p>
          <w:p w:rsidR="00B835B3"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B835B3"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B835B3" w:rsidRDefault="005F5E3F" w:rsidP="00B853E1">
            <w:pPr>
              <w:jc w:val="center"/>
              <w:rPr>
                <w:rFonts w:asciiTheme="minorHAnsi" w:hAnsiTheme="minorHAnsi"/>
                <w:b/>
                <w:sz w:val="20"/>
                <w:szCs w:val="20"/>
              </w:rPr>
            </w:pPr>
            <w:r>
              <w:rPr>
                <w:rFonts w:asciiTheme="minorHAnsi" w:hAnsiTheme="minorHAnsi"/>
                <w:b/>
                <w:sz w:val="20"/>
                <w:szCs w:val="20"/>
              </w:rPr>
              <w:t>Quality</w:t>
            </w:r>
          </w:p>
          <w:p w:rsidR="00B835B3"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B835B3"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B835B3"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B835B3" w:rsidRDefault="005F5E3F" w:rsidP="00B853E1">
            <w:pPr>
              <w:jc w:val="center"/>
              <w:rPr>
                <w:rFonts w:asciiTheme="minorHAnsi" w:hAnsiTheme="minorHAnsi"/>
                <w:b/>
                <w:sz w:val="20"/>
                <w:szCs w:val="20"/>
              </w:rPr>
            </w:pPr>
            <w:r>
              <w:rPr>
                <w:rFonts w:asciiTheme="minorHAnsi" w:hAnsiTheme="minorHAnsi"/>
                <w:b/>
                <w:sz w:val="20"/>
                <w:szCs w:val="20"/>
              </w:rPr>
              <w:t>/new bathing</w:t>
            </w:r>
          </w:p>
          <w:p w:rsidR="00B835B3" w:rsidRDefault="005F5E3F" w:rsidP="00B853E1">
            <w:pPr>
              <w:jc w:val="center"/>
              <w:rPr>
                <w:rFonts w:asciiTheme="minorHAnsi" w:hAnsiTheme="minorHAnsi"/>
                <w:b/>
                <w:sz w:val="20"/>
                <w:szCs w:val="20"/>
              </w:rPr>
            </w:pPr>
            <w:r>
              <w:rPr>
                <w:rFonts w:asciiTheme="minorHAnsi" w:hAnsiTheme="minorHAnsi"/>
                <w:b/>
                <w:sz w:val="20"/>
                <w:szCs w:val="20"/>
              </w:rPr>
              <w:t>waters/bathing</w:t>
            </w:r>
          </w:p>
          <w:p w:rsidR="00B835B3"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B835B3" w:rsidTr="005F5E3F">
        <w:tc>
          <w:tcPr>
            <w:tcW w:w="1276" w:type="dxa"/>
            <w:gridSpan w:val="2"/>
            <w:vMerge/>
            <w:tcBorders>
              <w:bottom w:val="single" w:sz="4" w:space="0" w:color="808080" w:themeColor="background1" w:themeShade="80"/>
            </w:tcBorders>
            <w:shd w:val="clear" w:color="auto" w:fill="F2F2F2" w:themeFill="background1" w:themeFillShade="F2"/>
          </w:tcPr>
          <w:p w:rsidR="00B835B3" w:rsidRDefault="00B835B3"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B835B3" w:rsidRDefault="00B835B3"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B835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B835B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B835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B835B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B835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B835B3"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B835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B835B3" w:rsidRDefault="005F5E3F" w:rsidP="00430B97">
            <w:pPr>
              <w:jc w:val="center"/>
              <w:rPr>
                <w:rFonts w:asciiTheme="minorHAnsi" w:hAnsiTheme="minorHAnsi"/>
                <w:b/>
                <w:sz w:val="20"/>
                <w:szCs w:val="20"/>
              </w:rPr>
            </w:pPr>
            <w:r>
              <w:rPr>
                <w:rFonts w:asciiTheme="minorHAnsi" w:hAnsiTheme="minorHAnsi"/>
                <w:b/>
                <w:sz w:val="20"/>
                <w:szCs w:val="20"/>
              </w:rPr>
              <w:t>%</w:t>
            </w:r>
          </w:p>
        </w:tc>
      </w:tr>
      <w:tr w:rsidR="00B835B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A55FCB">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918</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885</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96.4</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905</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98.6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0.3</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10</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1.1</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5C19AE">
            <w:pPr>
              <w:jc w:val="center"/>
              <w:rPr>
                <w:rFonts w:asciiTheme="minorHAnsi" w:hAnsiTheme="minorHAnsi"/>
                <w:sz w:val="20"/>
                <w:szCs w:val="20"/>
              </w:rPr>
            </w:pPr>
            <w:r>
              <w:rPr>
                <w:rFonts w:asciiTheme="minorHAnsi" w:hAnsiTheme="minorHAnsi"/>
                <w:sz w:val="20"/>
                <w:szCs w:val="20"/>
              </w:rPr>
              <w:t>Coastal</w:t>
            </w:r>
          </w:p>
          <w:p w:rsidR="00B835B3" w:rsidRDefault="00B835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908</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877</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96.6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896</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98.7</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12</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1.3</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5C19AE">
            <w:pPr>
              <w:jc w:val="center"/>
              <w:rPr>
                <w:rFonts w:asciiTheme="minorHAnsi" w:hAnsiTheme="minorHAnsi"/>
                <w:sz w:val="20"/>
                <w:szCs w:val="20"/>
              </w:rPr>
            </w:pPr>
            <w:r>
              <w:rPr>
                <w:rFonts w:asciiTheme="minorHAnsi" w:hAnsiTheme="minorHAnsi"/>
                <w:sz w:val="20"/>
                <w:szCs w:val="20"/>
              </w:rPr>
              <w:t>Coastal</w:t>
            </w:r>
          </w:p>
          <w:p w:rsidR="00B835B3" w:rsidRDefault="00B835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922</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889</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96.4</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905</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98.2</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17</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1.8</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5C19AE">
            <w:pPr>
              <w:jc w:val="center"/>
              <w:rPr>
                <w:rFonts w:asciiTheme="minorHAnsi" w:hAnsiTheme="minorHAnsi"/>
                <w:sz w:val="20"/>
                <w:szCs w:val="20"/>
              </w:rPr>
            </w:pPr>
            <w:r>
              <w:rPr>
                <w:rFonts w:asciiTheme="minorHAnsi" w:hAnsiTheme="minorHAnsi"/>
                <w:sz w:val="20"/>
                <w:szCs w:val="20"/>
              </w:rPr>
              <w:t>Coastal</w:t>
            </w:r>
          </w:p>
          <w:p w:rsidR="00B835B3" w:rsidRDefault="00B835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949</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909</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95.8</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920</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96.9</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29</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3.1</w:t>
            </w:r>
          </w:p>
        </w:tc>
      </w:tr>
      <w:tr w:rsidR="00B835B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A55FCB">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3</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11.1</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25.9</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74.1</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B835B3" w:rsidRDefault="00B835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14.8</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25.9</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74.1</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B835B3" w:rsidRDefault="00B835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14.8</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29.6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19</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70.4</w:t>
            </w:r>
          </w:p>
        </w:tc>
      </w:tr>
      <w:tr w:rsidR="00B835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B835B3" w:rsidRDefault="00B835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4</w:t>
            </w:r>
          </w:p>
        </w:tc>
        <w:tc>
          <w:tcPr>
            <w:tcW w:w="904"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14.8</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8</w:t>
            </w:r>
          </w:p>
        </w:tc>
        <w:tc>
          <w:tcPr>
            <w:tcW w:w="99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29.6</w:t>
            </w:r>
          </w:p>
        </w:tc>
        <w:tc>
          <w:tcPr>
            <w:tcW w:w="992"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19</w:t>
            </w:r>
          </w:p>
        </w:tc>
        <w:tc>
          <w:tcPr>
            <w:tcW w:w="940" w:type="dxa"/>
            <w:tcBorders>
              <w:top w:val="single" w:sz="4" w:space="0" w:color="808080" w:themeColor="background1" w:themeShade="80"/>
              <w:bottom w:val="single" w:sz="4" w:space="0" w:color="808080" w:themeColor="background1" w:themeShade="80"/>
            </w:tcBorders>
            <w:vAlign w:val="center"/>
          </w:tcPr>
          <w:p w:rsidR="00B835B3" w:rsidRDefault="005F5E3F" w:rsidP="002E7263">
            <w:pPr>
              <w:jc w:val="right"/>
              <w:rPr>
                <w:rFonts w:asciiTheme="minorHAnsi" w:hAnsiTheme="minorHAnsi"/>
                <w:sz w:val="20"/>
                <w:szCs w:val="20"/>
              </w:rPr>
            </w:pPr>
            <w:r>
              <w:rPr>
                <w:rFonts w:asciiTheme="minorHAnsi" w:hAnsiTheme="minorHAnsi"/>
                <w:sz w:val="20"/>
                <w:szCs w:val="20"/>
              </w:rPr>
              <w:t>70.4</w:t>
            </w:r>
          </w:p>
        </w:tc>
      </w:tr>
      <w:tr w:rsidR="00B835B3" w:rsidTr="005F5E3F">
        <w:trPr>
          <w:cantSplit/>
          <w:trHeight w:val="425"/>
        </w:trPr>
        <w:tc>
          <w:tcPr>
            <w:tcW w:w="426" w:type="dxa"/>
            <w:vMerge w:val="restart"/>
            <w:tcBorders>
              <w:top w:val="single" w:sz="4" w:space="0" w:color="808080" w:themeColor="background1" w:themeShade="80"/>
            </w:tcBorders>
            <w:textDirection w:val="btLr"/>
            <w:vAlign w:val="center"/>
          </w:tcPr>
          <w:p w:rsidR="00B835B3" w:rsidRDefault="005F5E3F" w:rsidP="00A55FCB">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945</w:t>
            </w:r>
          </w:p>
        </w:tc>
        <w:tc>
          <w:tcPr>
            <w:tcW w:w="939"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888</w:t>
            </w:r>
          </w:p>
        </w:tc>
        <w:tc>
          <w:tcPr>
            <w:tcW w:w="904"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94.0</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912</w:t>
            </w:r>
          </w:p>
        </w:tc>
        <w:tc>
          <w:tcPr>
            <w:tcW w:w="99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96.5</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0.3</w:t>
            </w:r>
          </w:p>
        </w:tc>
        <w:tc>
          <w:tcPr>
            <w:tcW w:w="90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30</w:t>
            </w:r>
          </w:p>
        </w:tc>
        <w:tc>
          <w:tcPr>
            <w:tcW w:w="94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3.2</w:t>
            </w:r>
          </w:p>
        </w:tc>
      </w:tr>
      <w:tr w:rsidR="00B835B3" w:rsidTr="005F5E3F">
        <w:trPr>
          <w:cantSplit/>
          <w:trHeight w:val="425"/>
        </w:trPr>
        <w:tc>
          <w:tcPr>
            <w:tcW w:w="426" w:type="dxa"/>
            <w:vMerge/>
            <w:tcBorders>
              <w:top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B835B3" w:rsidRDefault="00B835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935</w:t>
            </w:r>
          </w:p>
        </w:tc>
        <w:tc>
          <w:tcPr>
            <w:tcW w:w="939"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881</w:t>
            </w:r>
          </w:p>
        </w:tc>
        <w:tc>
          <w:tcPr>
            <w:tcW w:w="904"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94.2</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903</w:t>
            </w:r>
          </w:p>
        </w:tc>
        <w:tc>
          <w:tcPr>
            <w:tcW w:w="99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96.6</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32</w:t>
            </w:r>
          </w:p>
        </w:tc>
        <w:tc>
          <w:tcPr>
            <w:tcW w:w="94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3.4</w:t>
            </w:r>
          </w:p>
        </w:tc>
      </w:tr>
      <w:tr w:rsidR="00B835B3" w:rsidTr="005F5E3F">
        <w:trPr>
          <w:cantSplit/>
          <w:trHeight w:val="425"/>
        </w:trPr>
        <w:tc>
          <w:tcPr>
            <w:tcW w:w="426" w:type="dxa"/>
            <w:vMerge/>
            <w:tcBorders>
              <w:top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B835B3" w:rsidRDefault="00B835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949</w:t>
            </w:r>
          </w:p>
        </w:tc>
        <w:tc>
          <w:tcPr>
            <w:tcW w:w="939"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893</w:t>
            </w:r>
          </w:p>
        </w:tc>
        <w:tc>
          <w:tcPr>
            <w:tcW w:w="904"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94.1</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913</w:t>
            </w:r>
          </w:p>
        </w:tc>
        <w:tc>
          <w:tcPr>
            <w:tcW w:w="99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96.2</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36</w:t>
            </w:r>
          </w:p>
        </w:tc>
        <w:tc>
          <w:tcPr>
            <w:tcW w:w="94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3.8</w:t>
            </w:r>
          </w:p>
        </w:tc>
      </w:tr>
      <w:tr w:rsidR="00B835B3" w:rsidTr="005F5E3F">
        <w:trPr>
          <w:cantSplit/>
          <w:trHeight w:val="425"/>
        </w:trPr>
        <w:tc>
          <w:tcPr>
            <w:tcW w:w="426" w:type="dxa"/>
            <w:vMerge/>
            <w:tcBorders>
              <w:top w:val="single" w:sz="4" w:space="0" w:color="808080" w:themeColor="background1" w:themeShade="80"/>
            </w:tcBorders>
            <w:textDirection w:val="btLr"/>
            <w:vAlign w:val="center"/>
          </w:tcPr>
          <w:p w:rsidR="00B835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B835B3" w:rsidRDefault="00B835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976</w:t>
            </w:r>
          </w:p>
        </w:tc>
        <w:tc>
          <w:tcPr>
            <w:tcW w:w="939"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913</w:t>
            </w:r>
          </w:p>
        </w:tc>
        <w:tc>
          <w:tcPr>
            <w:tcW w:w="904"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93.5</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928</w:t>
            </w:r>
          </w:p>
        </w:tc>
        <w:tc>
          <w:tcPr>
            <w:tcW w:w="99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95.1</w:t>
            </w:r>
          </w:p>
        </w:tc>
        <w:tc>
          <w:tcPr>
            <w:tcW w:w="992"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48</w:t>
            </w:r>
          </w:p>
        </w:tc>
        <w:tc>
          <w:tcPr>
            <w:tcW w:w="940" w:type="dxa"/>
            <w:tcBorders>
              <w:top w:val="single" w:sz="4" w:space="0" w:color="808080" w:themeColor="background1" w:themeShade="80"/>
            </w:tcBorders>
            <w:vAlign w:val="center"/>
          </w:tcPr>
          <w:p w:rsidR="00B835B3" w:rsidRDefault="005F5E3F" w:rsidP="002E7263">
            <w:pPr>
              <w:jc w:val="right"/>
              <w:rPr>
                <w:rFonts w:asciiTheme="minorHAnsi" w:hAnsiTheme="minorHAnsi"/>
                <w:b/>
                <w:sz w:val="20"/>
                <w:szCs w:val="20"/>
              </w:rPr>
            </w:pPr>
            <w:r>
              <w:rPr>
                <w:rFonts w:asciiTheme="minorHAnsi" w:hAnsiTheme="minorHAnsi"/>
                <w:b/>
                <w:sz w:val="20"/>
                <w:szCs w:val="20"/>
              </w:rPr>
              <w:t>4.9</w:t>
            </w:r>
          </w:p>
        </w:tc>
      </w:tr>
    </w:tbl>
    <w:p w:rsidR="00B835B3"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B835B3" w:rsidRDefault="002B438D" w:rsidP="00ED3BDC">
      <w:r>
        <w:br w:type="page"/>
      </w:r>
    </w:p>
    <w:p w:rsidR="00B835B3" w:rsidRDefault="002B438D" w:rsidP="00ED3BDC">
      <w:pPr>
        <w:rPr>
          <w:b/>
          <w:sz w:val="28"/>
        </w:rPr>
      </w:pPr>
      <w:r>
        <w:rPr>
          <w:b/>
          <w:sz w:val="28"/>
        </w:rPr>
        <w:lastRenderedPageBreak/>
        <w:t>Appendix 2: Bathing water quality map</w:t>
      </w:r>
    </w:p>
    <w:p w:rsidR="00B835B3" w:rsidRDefault="00B835B3" w:rsidP="00ED3BDC"/>
    <w:p w:rsidR="00B835B3" w:rsidRDefault="00A55FCB" w:rsidP="00ED3BDC">
      <w:r>
        <w:rPr>
          <w:noProof/>
          <w:lang w:eastAsia="en-GB"/>
        </w:rPr>
        <w:drawing>
          <wp:inline distT="0" distB="0" distL="0" distR="0">
            <wp:extent cx="6188710" cy="8008919"/>
            <wp:effectExtent l="0" t="0" r="2540" b="0"/>
            <wp:docPr id="4" name="Picture 4" descr="D:\Projekti\BWD\BWD 2017\National reports\GIS\map\NationalReports\PNG\20180420\H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HR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B835B3"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0F" w:rsidRDefault="003F3F0F" w:rsidP="00ED3BDC">
      <w:r>
        <w:separator/>
      </w:r>
    </w:p>
  </w:endnote>
  <w:endnote w:type="continuationSeparator" w:id="0">
    <w:p w:rsidR="003F3F0F" w:rsidRDefault="003F3F0F" w:rsidP="00ED3BDC">
      <w:r>
        <w:continuationSeparator/>
      </w:r>
    </w:p>
  </w:endnote>
  <w:endnote w:type="continuationNotice" w:id="1">
    <w:p w:rsidR="003F3F0F" w:rsidRDefault="003F3F0F"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B83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B835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B83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0F" w:rsidRDefault="003F3F0F" w:rsidP="00ED3BDC">
      <w:r>
        <w:separator/>
      </w:r>
    </w:p>
  </w:footnote>
  <w:footnote w:type="continuationSeparator" w:id="0">
    <w:p w:rsidR="003F3F0F" w:rsidRDefault="003F3F0F" w:rsidP="00ED3BDC">
      <w:r>
        <w:continuationSeparator/>
      </w:r>
    </w:p>
  </w:footnote>
  <w:footnote w:type="continuationNotice" w:id="1">
    <w:p w:rsidR="003F3F0F" w:rsidRDefault="003F3F0F"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B835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B83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B3"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3F0F"/>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5FCB"/>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35B3"/>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mzoip.hr/doc/izvjesce_o_kakvoci_mora_za_kupanje_u_rh_2017.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aop.hr/"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Feuil1!$B$2:$B$10</c:f>
              <c:numCache>
                <c:formatCode>General</c:formatCode>
                <c:ptCount val="9"/>
                <c:pt idx="0">
                  <c:v>0.97899999999999998</c:v>
                </c:pt>
                <c:pt idx="1">
                  <c:v>0.98580000000000001</c:v>
                </c:pt>
                <c:pt idx="2">
                  <c:v>0.97789999999999999</c:v>
                </c:pt>
                <c:pt idx="3">
                  <c:v>0.96050000000000002</c:v>
                </c:pt>
                <c:pt idx="4">
                  <c:v>0.95430000000000004</c:v>
                </c:pt>
                <c:pt idx="5">
                  <c:v>0.96409999999999996</c:v>
                </c:pt>
                <c:pt idx="6">
                  <c:v>0.96589999999999998</c:v>
                </c:pt>
                <c:pt idx="7">
                  <c:v>0.96419999999999995</c:v>
                </c:pt>
                <c:pt idx="8">
                  <c:v>0.95789999999999997</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Feuil1!$C$2:$C$10</c:f>
              <c:numCache>
                <c:formatCode>General</c:formatCode>
                <c:ptCount val="9"/>
                <c:pt idx="0">
                  <c:v>0.99560000000000004</c:v>
                </c:pt>
                <c:pt idx="1">
                  <c:v>1</c:v>
                </c:pt>
                <c:pt idx="2">
                  <c:v>1</c:v>
                </c:pt>
                <c:pt idx="3">
                  <c:v>0.98899999999999999</c:v>
                </c:pt>
                <c:pt idx="4">
                  <c:v>0.98150000000000004</c:v>
                </c:pt>
                <c:pt idx="5">
                  <c:v>0.98580000000000001</c:v>
                </c:pt>
                <c:pt idx="6">
                  <c:v>0.98680000000000001</c:v>
                </c:pt>
                <c:pt idx="7">
                  <c:v>0.98160000000000003</c:v>
                </c:pt>
                <c:pt idx="8">
                  <c:v>0.96940000000000004</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Feuil1!$D$2:$D$10</c:f>
              <c:numCache>
                <c:formatCode>General</c:formatCode>
                <c:ptCount val="9"/>
                <c:pt idx="0">
                  <c:v>0</c:v>
                </c:pt>
                <c:pt idx="1">
                  <c:v>0</c:v>
                </c:pt>
                <c:pt idx="2">
                  <c:v>0</c:v>
                </c:pt>
                <c:pt idx="3">
                  <c:v>3.3E-3</c:v>
                </c:pt>
                <c:pt idx="4">
                  <c:v>3.3E-3</c:v>
                </c:pt>
                <c:pt idx="5">
                  <c:v>3.3E-3</c:v>
                </c:pt>
                <c:pt idx="6">
                  <c:v>0</c:v>
                </c:pt>
                <c:pt idx="7">
                  <c:v>0</c:v>
                </c:pt>
                <c:pt idx="8">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Feuil1!$E$2:$E$10</c:f>
              <c:numCache>
                <c:formatCode>General</c:formatCode>
                <c:ptCount val="9"/>
                <c:pt idx="0">
                  <c:v>4.4000000000000003E-3</c:v>
                </c:pt>
                <c:pt idx="1">
                  <c:v>0</c:v>
                </c:pt>
                <c:pt idx="2">
                  <c:v>0</c:v>
                </c:pt>
                <c:pt idx="3">
                  <c:v>7.7000000000000002E-3</c:v>
                </c:pt>
                <c:pt idx="4">
                  <c:v>1.52E-2</c:v>
                </c:pt>
                <c:pt idx="5">
                  <c:v>1.09E-2</c:v>
                </c:pt>
                <c:pt idx="6">
                  <c:v>1.32E-2</c:v>
                </c:pt>
                <c:pt idx="7">
                  <c:v>1.84E-2</c:v>
                </c:pt>
                <c:pt idx="8">
                  <c:v>3.0599999999999999E-2</c:v>
                </c:pt>
              </c:numCache>
            </c:numRef>
          </c:val>
          <c:smooth val="0"/>
        </c:ser>
        <c:dLbls>
          <c:showLegendKey val="0"/>
          <c:showVal val="0"/>
          <c:showCatName val="0"/>
          <c:showSerName val="0"/>
          <c:showPercent val="0"/>
          <c:showBubbleSize val="0"/>
        </c:dLbls>
        <c:marker val="1"/>
        <c:smooth val="0"/>
        <c:axId val="169916672"/>
        <c:axId val="169926656"/>
      </c:lineChart>
      <c:catAx>
        <c:axId val="169916672"/>
        <c:scaling>
          <c:orientation val="minMax"/>
        </c:scaling>
        <c:delete val="0"/>
        <c:axPos val="b"/>
        <c:numFmt formatCode="@" sourceLinked="0"/>
        <c:majorTickMark val="out"/>
        <c:minorTickMark val="none"/>
        <c:tickLblPos val="nextTo"/>
        <c:crossAx val="169926656"/>
        <c:crosses val="autoZero"/>
        <c:auto val="1"/>
        <c:lblAlgn val="ctr"/>
        <c:lblOffset val="100"/>
        <c:noMultiLvlLbl val="0"/>
      </c:catAx>
      <c:valAx>
        <c:axId val="16992665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69916672"/>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Feuil1!$A$2:$A$8</c:f>
              <c:numCache>
                <c:formatCode>General</c:formatCode>
                <c:ptCount val="7"/>
                <c:pt idx="0">
                  <c:v>2011</c:v>
                </c:pt>
                <c:pt idx="1">
                  <c:v>2012</c:v>
                </c:pt>
                <c:pt idx="2">
                  <c:v>2013</c:v>
                </c:pt>
                <c:pt idx="3">
                  <c:v>2014</c:v>
                </c:pt>
                <c:pt idx="4">
                  <c:v>2015</c:v>
                </c:pt>
                <c:pt idx="5">
                  <c:v>2016</c:v>
                </c:pt>
                <c:pt idx="6">
                  <c:v>2017</c:v>
                </c:pt>
              </c:numCache>
            </c:numRef>
          </c:cat>
          <c:val>
            <c:numRef>
              <c:f>Feuil1!$B$2:$B$8</c:f>
              <c:numCache>
                <c:formatCode>General</c:formatCode>
                <c:ptCount val="7"/>
                <c:pt idx="0">
                  <c:v>0.75</c:v>
                </c:pt>
                <c:pt idx="1">
                  <c:v>0</c:v>
                </c:pt>
                <c:pt idx="2">
                  <c:v>0.375</c:v>
                </c:pt>
                <c:pt idx="3">
                  <c:v>0.1111</c:v>
                </c:pt>
                <c:pt idx="4">
                  <c:v>0.14810000000000001</c:v>
                </c:pt>
                <c:pt idx="5">
                  <c:v>0.14810000000000001</c:v>
                </c:pt>
                <c:pt idx="6">
                  <c:v>0.14810000000000001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Feuil1!$A$2:$A$8</c:f>
              <c:numCache>
                <c:formatCode>General</c:formatCode>
                <c:ptCount val="7"/>
                <c:pt idx="0">
                  <c:v>2011</c:v>
                </c:pt>
                <c:pt idx="1">
                  <c:v>2012</c:v>
                </c:pt>
                <c:pt idx="2">
                  <c:v>2013</c:v>
                </c:pt>
                <c:pt idx="3">
                  <c:v>2014</c:v>
                </c:pt>
                <c:pt idx="4">
                  <c:v>2015</c:v>
                </c:pt>
                <c:pt idx="5">
                  <c:v>2016</c:v>
                </c:pt>
                <c:pt idx="6">
                  <c:v>2017</c:v>
                </c:pt>
              </c:numCache>
            </c:numRef>
          </c:cat>
          <c:val>
            <c:numRef>
              <c:f>Feuil1!$C$2:$C$8</c:f>
              <c:numCache>
                <c:formatCode>General</c:formatCode>
                <c:ptCount val="7"/>
                <c:pt idx="0">
                  <c:v>1</c:v>
                </c:pt>
                <c:pt idx="1">
                  <c:v>0.1429</c:v>
                </c:pt>
                <c:pt idx="2">
                  <c:v>0.5</c:v>
                </c:pt>
                <c:pt idx="3">
                  <c:v>0.25929999999999997</c:v>
                </c:pt>
                <c:pt idx="4">
                  <c:v>0.25929999999999997</c:v>
                </c:pt>
                <c:pt idx="5">
                  <c:v>0.29630000000000001</c:v>
                </c:pt>
                <c:pt idx="6">
                  <c:v>0.29630000000000001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Feuil1!$A$2:$A$8</c:f>
              <c:numCache>
                <c:formatCode>General</c:formatCode>
                <c:ptCount val="7"/>
                <c:pt idx="0">
                  <c:v>2011</c:v>
                </c:pt>
                <c:pt idx="1">
                  <c:v>2012</c:v>
                </c:pt>
                <c:pt idx="2">
                  <c:v>2013</c:v>
                </c:pt>
                <c:pt idx="3">
                  <c:v>2014</c:v>
                </c:pt>
                <c:pt idx="4">
                  <c:v>2015</c:v>
                </c:pt>
                <c:pt idx="5">
                  <c:v>2016</c:v>
                </c:pt>
                <c:pt idx="6">
                  <c:v>2017</c:v>
                </c:pt>
              </c:numCache>
            </c:numRef>
          </c:cat>
          <c:val>
            <c:numRef>
              <c:f>Feuil1!$D$2:$D$8</c:f>
              <c:numCache>
                <c:formatCode>General</c:formatCode>
                <c:ptCount val="7"/>
                <c:pt idx="0">
                  <c:v>0</c:v>
                </c:pt>
                <c:pt idx="1">
                  <c:v>0</c:v>
                </c:pt>
                <c:pt idx="2">
                  <c:v>0</c:v>
                </c:pt>
                <c:pt idx="3">
                  <c:v>0</c:v>
                </c:pt>
                <c:pt idx="4">
                  <c:v>0</c:v>
                </c:pt>
                <c:pt idx="5">
                  <c:v>0</c:v>
                </c:pt>
                <c:pt idx="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Feuil1!$A$2:$A$8</c:f>
              <c:numCache>
                <c:formatCode>General</c:formatCode>
                <c:ptCount val="7"/>
                <c:pt idx="0">
                  <c:v>2011</c:v>
                </c:pt>
                <c:pt idx="1">
                  <c:v>2012</c:v>
                </c:pt>
                <c:pt idx="2">
                  <c:v>2013</c:v>
                </c:pt>
                <c:pt idx="3">
                  <c:v>2014</c:v>
                </c:pt>
                <c:pt idx="4">
                  <c:v>2015</c:v>
                </c:pt>
                <c:pt idx="5">
                  <c:v>2016</c:v>
                </c:pt>
                <c:pt idx="6">
                  <c:v>2017</c:v>
                </c:pt>
              </c:numCache>
            </c:numRef>
          </c:cat>
          <c:val>
            <c:numRef>
              <c:f>Feuil1!$E$2:$E$8</c:f>
              <c:numCache>
                <c:formatCode>General</c:formatCode>
                <c:ptCount val="7"/>
                <c:pt idx="0">
                  <c:v>0</c:v>
                </c:pt>
                <c:pt idx="1">
                  <c:v>0.85709999999999997</c:v>
                </c:pt>
                <c:pt idx="2">
                  <c:v>0.5</c:v>
                </c:pt>
                <c:pt idx="3">
                  <c:v>0.74070000000000003</c:v>
                </c:pt>
                <c:pt idx="4">
                  <c:v>0.74070000000000003</c:v>
                </c:pt>
                <c:pt idx="5">
                  <c:v>0.70369999999999999</c:v>
                </c:pt>
                <c:pt idx="6">
                  <c:v>0.70369999999999999</c:v>
                </c:pt>
              </c:numCache>
            </c:numRef>
          </c:val>
          <c:smooth val="0"/>
        </c:ser>
        <c:dLbls>
          <c:showLegendKey val="0"/>
          <c:showVal val="0"/>
          <c:showCatName val="0"/>
          <c:showSerName val="0"/>
          <c:showPercent val="0"/>
          <c:showBubbleSize val="0"/>
        </c:dLbls>
        <c:marker val="1"/>
        <c:smooth val="0"/>
        <c:axId val="167909248"/>
        <c:axId val="167910784"/>
      </c:lineChart>
      <c:catAx>
        <c:axId val="167909248"/>
        <c:scaling>
          <c:orientation val="minMax"/>
        </c:scaling>
        <c:delete val="0"/>
        <c:axPos val="b"/>
        <c:numFmt formatCode="@" sourceLinked="0"/>
        <c:majorTickMark val="out"/>
        <c:minorTickMark val="none"/>
        <c:tickLblPos val="nextTo"/>
        <c:crossAx val="167910784"/>
        <c:crosses val="autoZero"/>
        <c:auto val="1"/>
        <c:lblAlgn val="ctr"/>
        <c:lblOffset val="100"/>
        <c:noMultiLvlLbl val="0"/>
      </c:catAx>
      <c:valAx>
        <c:axId val="16791078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6790924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4DD4-FC51-4E18-9425-87CF4A54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2018-04-25T15:33:00Z</dcterms:modified>
</cp:coreProperties>
</file>