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647" w:rsidRDefault="008F0647" w:rsidP="00ED3BDC"/>
    <w:p w:rsidR="008F0647" w:rsidRDefault="00E95009" w:rsidP="00B67D96">
      <w:pPr>
        <w:jc w:val="center"/>
        <w:rPr>
          <w:rFonts w:cs="Arial"/>
          <w:b/>
          <w:bCs/>
          <w:sz w:val="32"/>
        </w:rPr>
      </w:pPr>
      <w:r>
        <w:rPr>
          <w:b/>
          <w:sz w:val="32"/>
        </w:rPr>
        <w:t xml:space="preserve">BWD Report For the Bathing Season </w:t>
      </w:r>
      <w:r>
        <w:rPr>
          <w:rFonts w:cs="Arial"/>
          <w:b/>
          <w:bCs/>
          <w:sz w:val="32"/>
        </w:rPr>
        <w:t>2017</w:t>
      </w:r>
    </w:p>
    <w:p w:rsidR="008F0647" w:rsidRDefault="0079462E" w:rsidP="00B67D96">
      <w:pPr>
        <w:jc w:val="center"/>
        <w:rPr>
          <w:b/>
          <w:sz w:val="40"/>
        </w:rPr>
      </w:pPr>
      <w:r>
        <w:rPr>
          <w:b/>
          <w:sz w:val="40"/>
        </w:rPr>
        <w:t>Greece</w:t>
      </w:r>
    </w:p>
    <w:p w:rsidR="008F0647" w:rsidRDefault="008F0647" w:rsidP="00ED3BDC"/>
    <w:p w:rsidR="008F0647" w:rsidRDefault="008F0647" w:rsidP="00ED3BDC"/>
    <w:p w:rsidR="008F0647" w:rsidRDefault="0079462E" w:rsidP="00ED3BDC">
      <w:r>
        <w:t>The report gives a general overview of information acquired from the reported data, based on provisions of the Bathing Water Directive</w:t>
      </w:r>
      <w:r>
        <w:rPr>
          <w:rStyle w:val="FootnoteReference"/>
          <w:rFonts w:ascii="Cambria" w:hAnsi="Cambria"/>
        </w:rPr>
        <w:footnoteReference w:id="2"/>
      </w:r>
      <w:r>
        <w:t>. The reporting process is described below, as well as state and trends of bathing water quality in Greece.</w:t>
      </w:r>
    </w:p>
    <w:p w:rsidR="008F0647" w:rsidRDefault="008F0647" w:rsidP="00ED3BDC"/>
    <w:p w:rsidR="008F0647" w:rsidRDefault="008F0647" w:rsidP="00ED3BDC"/>
    <w:p w:rsidR="008F0647" w:rsidRDefault="0079462E" w:rsidP="00ED3BDC">
      <w:pPr>
        <w:pStyle w:val="Heading1"/>
      </w:pPr>
      <w:r>
        <w:t xml:space="preserve">BWD reporting in the season </w:t>
      </w:r>
      <w:r>
        <w:rPr>
          <w:szCs w:val="28"/>
        </w:rPr>
        <w:t>2017</w:t>
      </w:r>
    </w:p>
    <w:p w:rsidR="008F0647" w:rsidRDefault="008F0647" w:rsidP="00ED3BDC"/>
    <w:p w:rsidR="008F0647" w:rsidRDefault="0079462E" w:rsidP="0099717D">
      <w:r>
        <w:rPr>
          <w:noProof/>
          <w:lang w:eastAsia="en-GB"/>
        </w:rPr>
        <mc:AlternateContent>
          <mc:Choice Requires="wps">
            <w:drawing>
              <wp:anchor distT="0" distB="0" distL="114300" distR="114300" simplePos="0" relativeHeight="251659264" behindDoc="0" locked="0" layoutInCell="1" allowOverlap="1" wp14:anchorId="46F6976E" wp14:editId="7D1C3418">
                <wp:simplePos x="0" y="0"/>
                <wp:positionH relativeFrom="column">
                  <wp:posOffset>3716020</wp:posOffset>
                </wp:positionH>
                <wp:positionV relativeFrom="paragraph">
                  <wp:posOffset>-5715</wp:posOffset>
                </wp:positionV>
                <wp:extent cx="2466340" cy="2922270"/>
                <wp:effectExtent l="0" t="0" r="10160" b="222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340" cy="2922270"/>
                        </a:xfrm>
                        <a:prstGeom prst="rect">
                          <a:avLst/>
                        </a:prstGeom>
                        <a:solidFill>
                          <a:srgbClr val="4F81BD">
                            <a:lumMod val="20000"/>
                            <a:lumOff val="80000"/>
                          </a:srgbClr>
                        </a:solidFill>
                        <a:ln w="9525">
                          <a:solidFill>
                            <a:srgbClr val="4F81BD">
                              <a:lumMod val="75000"/>
                            </a:srgbClr>
                          </a:solidFill>
                          <a:miter lim="800000"/>
                          <a:headEnd/>
                          <a:tailEnd/>
                        </a:ln>
                      </wps:spPr>
                      <wps:txbx>
                        <w:txbxContent>
                          <w:p w:rsidR="008F0647" w:rsidRDefault="0079462E" w:rsidP="00442644">
                            <w:pPr>
                              <w:jc w:val="center"/>
                              <w:rPr>
                                <w:rFonts w:asciiTheme="minorHAnsi" w:hAnsiTheme="minorHAnsi"/>
                                <w:b/>
                              </w:rPr>
                            </w:pPr>
                            <w:r>
                              <w:rPr>
                                <w:rFonts w:asciiTheme="minorHAnsi" w:hAnsiTheme="minorHAnsi"/>
                                <w:b/>
                              </w:rPr>
                              <w:t>Bathing waters of Greece in 2017</w:t>
                            </w:r>
                          </w:p>
                          <w:p w:rsidR="008F0647" w:rsidRDefault="008F0647" w:rsidP="00ED3BDC">
                            <w:pPr>
                              <w:rPr>
                                <w:rFonts w:asciiTheme="minorHAnsi" w:hAnsiTheme="minorHAnsi"/>
                                <w:sz w:val="20"/>
                              </w:rPr>
                            </w:pPr>
                          </w:p>
                          <w:p w:rsidR="008F0647" w:rsidRDefault="008B5077" w:rsidP="00DB3D3B">
                            <w:pPr>
                              <w:tabs>
                                <w:tab w:val="right" w:pos="3544"/>
                              </w:tabs>
                              <w:rPr>
                                <w:rFonts w:asciiTheme="minorHAnsi" w:hAnsiTheme="minorHAnsi"/>
                                <w:b/>
                                <w:sz w:val="20"/>
                              </w:rPr>
                            </w:pPr>
                            <w:r>
                              <w:rPr>
                                <w:rFonts w:asciiTheme="minorHAnsi" w:hAnsiTheme="minorHAnsi"/>
                                <w:b/>
                                <w:sz w:val="20"/>
                              </w:rPr>
                              <w:t xml:space="preserve">Total reported </w:t>
                            </w:r>
                            <w:r>
                              <w:rPr>
                                <w:rFonts w:asciiTheme="minorHAnsi" w:hAnsiTheme="minorHAnsi"/>
                                <w:b/>
                                <w:sz w:val="20"/>
                              </w:rPr>
                              <w:tab/>
                              <w:t>1598</w:t>
                            </w:r>
                          </w:p>
                          <w:p w:rsidR="008F0647"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1595</w:t>
                            </w:r>
                          </w:p>
                          <w:p w:rsidR="008F0647" w:rsidRDefault="008B5077"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3</w:t>
                            </w:r>
                          </w:p>
                          <w:p w:rsidR="008F0647" w:rsidRDefault="008F0647" w:rsidP="00DB3D3B">
                            <w:pPr>
                              <w:tabs>
                                <w:tab w:val="right" w:pos="3544"/>
                              </w:tabs>
                              <w:rPr>
                                <w:rFonts w:asciiTheme="minorHAnsi" w:hAnsiTheme="minorHAnsi"/>
                                <w:sz w:val="20"/>
                              </w:rPr>
                            </w:pPr>
                          </w:p>
                          <w:p w:rsidR="008F0647" w:rsidRDefault="008A3C2A" w:rsidP="00DB3D3B">
                            <w:pPr>
                              <w:tabs>
                                <w:tab w:val="right" w:pos="3544"/>
                              </w:tabs>
                              <w:rPr>
                                <w:rFonts w:asciiTheme="minorHAnsi" w:hAnsiTheme="minorHAnsi"/>
                                <w:b/>
                                <w:sz w:val="20"/>
                              </w:rPr>
                            </w:pPr>
                            <w:r>
                              <w:rPr>
                                <w:rFonts w:asciiTheme="minorHAnsi" w:hAnsiTheme="minorHAnsi"/>
                                <w:b/>
                                <w:sz w:val="20"/>
                              </w:rPr>
                              <w:t xml:space="preserve">Max season period </w:t>
                            </w:r>
                            <w:r>
                              <w:rPr>
                                <w:rFonts w:asciiTheme="minorHAnsi" w:hAnsiTheme="minorHAnsi"/>
                                <w:b/>
                                <w:sz w:val="20"/>
                              </w:rPr>
                              <w:tab/>
                            </w:r>
                            <w:r w:rsidR="00EE7A5D">
                              <w:rPr>
                                <w:rFonts w:asciiTheme="minorHAnsi" w:hAnsiTheme="minorHAnsi"/>
                                <w:b/>
                                <w:sz w:val="20"/>
                              </w:rPr>
                              <w:t xml:space="preserve">153 </w:t>
                            </w:r>
                            <w:r>
                              <w:rPr>
                                <w:rFonts w:asciiTheme="minorHAnsi" w:hAnsiTheme="minorHAnsi"/>
                                <w:b/>
                                <w:sz w:val="20"/>
                              </w:rPr>
                              <w:t>days</w:t>
                            </w:r>
                          </w:p>
                          <w:p w:rsidR="008F0647" w:rsidRDefault="0079462E" w:rsidP="00DB3D3B">
                            <w:pPr>
                              <w:tabs>
                                <w:tab w:val="right" w:pos="3544"/>
                              </w:tabs>
                              <w:rPr>
                                <w:rFonts w:asciiTheme="minorHAnsi" w:hAnsiTheme="minorHAnsi"/>
                                <w:sz w:val="20"/>
                              </w:rPr>
                            </w:pPr>
                            <w:r>
                              <w:rPr>
                                <w:rFonts w:asciiTheme="minorHAnsi" w:hAnsiTheme="minorHAnsi"/>
                                <w:sz w:val="20"/>
                              </w:rPr>
                              <w:tab/>
                              <w:t>1 Jun to 31 Oct</w:t>
                            </w:r>
                          </w:p>
                          <w:p w:rsidR="008F0647" w:rsidRDefault="008F0647" w:rsidP="00ED3BDC">
                            <w:pPr>
                              <w:rPr>
                                <w:rFonts w:asciiTheme="minorHAnsi" w:hAnsiTheme="minorHAnsi"/>
                                <w:sz w:val="20"/>
                              </w:rPr>
                            </w:pPr>
                          </w:p>
                          <w:p w:rsidR="008F0647" w:rsidRDefault="0079462E" w:rsidP="00DB3D3B">
                            <w:pPr>
                              <w:tabs>
                                <w:tab w:val="right" w:pos="3544"/>
                              </w:tabs>
                              <w:rPr>
                                <w:rFonts w:asciiTheme="minorHAnsi" w:hAnsiTheme="minorHAnsi"/>
                                <w:b/>
                                <w:sz w:val="20"/>
                              </w:rPr>
                            </w:pPr>
                            <w:r>
                              <w:rPr>
                                <w:rFonts w:asciiTheme="minorHAnsi" w:hAnsiTheme="minorHAnsi"/>
                                <w:b/>
                                <w:sz w:val="20"/>
                              </w:rPr>
                              <w:t>Samples taken</w:t>
                            </w:r>
                            <w:r>
                              <w:rPr>
                                <w:rFonts w:asciiTheme="minorHAnsi" w:hAnsiTheme="minorHAnsi"/>
                                <w:b/>
                                <w:sz w:val="20"/>
                              </w:rPr>
                              <w:tab/>
                              <w:t>9699</w:t>
                            </w:r>
                          </w:p>
                          <w:p w:rsidR="008F0647" w:rsidRDefault="008F0647" w:rsidP="00ED3BDC">
                            <w:pPr>
                              <w:rPr>
                                <w:rFonts w:asciiTheme="minorHAnsi" w:hAnsiTheme="minorHAnsi"/>
                                <w:sz w:val="20"/>
                              </w:rPr>
                            </w:pPr>
                          </w:p>
                          <w:p w:rsidR="008F0647" w:rsidRDefault="0079462E" w:rsidP="00DB3D3B">
                            <w:pPr>
                              <w:tabs>
                                <w:tab w:val="right" w:pos="3544"/>
                              </w:tabs>
                              <w:rPr>
                                <w:rFonts w:asciiTheme="minorHAnsi" w:hAnsiTheme="minorHAnsi"/>
                                <w:b/>
                                <w:sz w:val="20"/>
                              </w:rPr>
                            </w:pPr>
                            <w:r>
                              <w:rPr>
                                <w:rFonts w:asciiTheme="minorHAnsi" w:hAnsiTheme="minorHAnsi"/>
                                <w:b/>
                                <w:sz w:val="20"/>
                              </w:rPr>
                              <w:t xml:space="preserve">Share of bathing waters </w:t>
                            </w:r>
                            <w:r>
                              <w:rPr>
                                <w:rFonts w:asciiTheme="minorHAnsi" w:hAnsiTheme="minorHAnsi"/>
                                <w:b/>
                                <w:sz w:val="20"/>
                              </w:rPr>
                              <w:tab/>
                              <w:t>97 %</w:t>
                            </w:r>
                          </w:p>
                          <w:p w:rsidR="008F0647" w:rsidRDefault="0079462E" w:rsidP="00ED3BDC">
                            <w:pPr>
                              <w:rPr>
                                <w:rFonts w:asciiTheme="minorHAnsi" w:hAnsiTheme="minorHAnsi"/>
                                <w:b/>
                                <w:sz w:val="20"/>
                              </w:rPr>
                            </w:pPr>
                            <w:r>
                              <w:rPr>
                                <w:rFonts w:asciiTheme="minorHAnsi" w:hAnsiTheme="minorHAnsi"/>
                                <w:b/>
                                <w:sz w:val="20"/>
                              </w:rPr>
                              <w:t xml:space="preserve">with good or excellent </w:t>
                            </w:r>
                          </w:p>
                          <w:p w:rsidR="008F0647" w:rsidRDefault="0079462E" w:rsidP="00ED3BDC">
                            <w:pPr>
                              <w:rPr>
                                <w:rFonts w:asciiTheme="minorHAnsi" w:hAnsiTheme="minorHAnsi"/>
                                <w:b/>
                                <w:sz w:val="20"/>
                              </w:rPr>
                            </w:pPr>
                            <w:r>
                              <w:rPr>
                                <w:rFonts w:asciiTheme="minorHAnsi" w:hAnsiTheme="minorHAnsi"/>
                                <w:b/>
                                <w:sz w:val="20"/>
                              </w:rPr>
                              <w:t>water quality</w:t>
                            </w:r>
                          </w:p>
                          <w:p w:rsidR="008F0647" w:rsidRDefault="008F0647" w:rsidP="00ED3BDC">
                            <w:pPr>
                              <w:rPr>
                                <w:rFonts w:asciiTheme="minorHAnsi" w:hAnsiTheme="minorHAnsi"/>
                                <w:sz w:val="20"/>
                              </w:rPr>
                            </w:pPr>
                          </w:p>
                          <w:p w:rsidR="008F0647" w:rsidRDefault="00954462" w:rsidP="00DB3D3B">
                            <w:pPr>
                              <w:tabs>
                                <w:tab w:val="right" w:pos="3544"/>
                              </w:tabs>
                              <w:rPr>
                                <w:rFonts w:asciiTheme="minorHAnsi" w:hAnsiTheme="minorHAnsi"/>
                                <w:b/>
                                <w:sz w:val="20"/>
                              </w:rPr>
                            </w:pPr>
                            <w:r>
                              <w:rPr>
                                <w:rFonts w:asciiTheme="minorHAnsi" w:hAnsiTheme="minorHAnsi"/>
                                <w:b/>
                                <w:sz w:val="20"/>
                              </w:rPr>
                              <w:t>Reporting under</w:t>
                            </w:r>
                            <w:r>
                              <w:rPr>
                                <w:rFonts w:asciiTheme="minorHAnsi" w:hAnsiTheme="minorHAnsi"/>
                                <w:b/>
                                <w:sz w:val="20"/>
                              </w:rPr>
                              <w:tab/>
                              <w:t>2010</w:t>
                            </w:r>
                          </w:p>
                          <w:p w:rsidR="008F0647" w:rsidRDefault="008928A8" w:rsidP="00DB3D3B">
                            <w:pPr>
                              <w:tabs>
                                <w:tab w:val="right" w:pos="3544"/>
                              </w:tabs>
                              <w:rPr>
                                <w:rFonts w:asciiTheme="minorHAnsi" w:hAnsiTheme="minorHAnsi"/>
                                <w:b/>
                                <w:sz w:val="20"/>
                              </w:rPr>
                            </w:pPr>
                            <w:r>
                              <w:rPr>
                                <w:rFonts w:asciiTheme="minorHAnsi" w:hAnsiTheme="minorHAnsi"/>
                                <w:b/>
                                <w:sz w:val="20"/>
                              </w:rPr>
                              <w:t>Directive 2006/7/EC since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2.6pt;margin-top:-.45pt;width:194.2pt;height:23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" fillcolor="#dce6f2" strokecolor="#376092">
                <v:textbox style="mso-fit-shape-to-text:t">
                  <w:txbxContent>
                    <w:p w:rsidR="008F0647" w:rsidRDefault="0079462E" w:rsidP="00442644">
                      <w:pPr>
                        <w:jc w:val="center"/>
                        <w:rPr>
                          <w:rFonts w:asciiTheme="minorHAnsi" w:hAnsiTheme="minorHAnsi"/>
                          <w:b/>
                        </w:rPr>
                      </w:pPr>
                      <w:r>
                        <w:rPr>
                          <w:rFonts w:asciiTheme="minorHAnsi" w:hAnsiTheme="minorHAnsi"/>
                          <w:b/>
                        </w:rPr>
                        <w:t>Bathing waters of Greece in 2017</w:t>
                      </w:r>
                    </w:p>
                    <w:p w:rsidR="008F0647" w:rsidRDefault="008F0647" w:rsidP="00ED3BDC">
                      <w:pPr>
                        <w:rPr>
                          <w:rFonts w:asciiTheme="minorHAnsi" w:hAnsiTheme="minorHAnsi"/>
                          <w:sz w:val="20"/>
                        </w:rPr>
                      </w:pPr>
                    </w:p>
                    <w:p w:rsidR="008F0647" w:rsidRDefault="008B5077" w:rsidP="00DB3D3B">
                      <w:pPr>
                        <w:tabs>
                          <w:tab w:val="right" w:pos="3544"/>
                        </w:tabs>
                        <w:rPr>
                          <w:rFonts w:asciiTheme="minorHAnsi" w:hAnsiTheme="minorHAnsi"/>
                          <w:b/>
                          <w:sz w:val="20"/>
                        </w:rPr>
                      </w:pPr>
                      <w:r>
                        <w:rPr>
                          <w:rFonts w:asciiTheme="minorHAnsi" w:hAnsiTheme="minorHAnsi"/>
                          <w:b/>
                          <w:sz w:val="20"/>
                        </w:rPr>
                        <w:t xml:space="preserve">Total reported </w:t>
                      </w:r>
                      <w:r>
                        <w:rPr>
                          <w:rFonts w:asciiTheme="minorHAnsi" w:hAnsiTheme="minorHAnsi"/>
                          <w:b/>
                          <w:sz w:val="20"/>
                        </w:rPr>
                        <w:tab/>
                        <w:t>1598</w:t>
                      </w:r>
                    </w:p>
                    <w:p w:rsidR="008F0647"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1595</w:t>
                      </w:r>
                    </w:p>
                    <w:p w:rsidR="008F0647" w:rsidRDefault="008B5077"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3</w:t>
                      </w:r>
                    </w:p>
                    <w:p w:rsidR="008F0647" w:rsidRDefault="008F0647" w:rsidP="00DB3D3B">
                      <w:pPr>
                        <w:tabs>
                          <w:tab w:val="right" w:pos="3544"/>
                        </w:tabs>
                        <w:rPr>
                          <w:rFonts w:asciiTheme="minorHAnsi" w:hAnsiTheme="minorHAnsi"/>
                          <w:sz w:val="20"/>
                        </w:rPr>
                      </w:pPr>
                    </w:p>
                    <w:p w:rsidR="008F0647" w:rsidRDefault="008A3C2A" w:rsidP="00DB3D3B">
                      <w:pPr>
                        <w:tabs>
                          <w:tab w:val="right" w:pos="3544"/>
                        </w:tabs>
                        <w:rPr>
                          <w:rFonts w:asciiTheme="minorHAnsi" w:hAnsiTheme="minorHAnsi"/>
                          <w:b/>
                          <w:sz w:val="20"/>
                        </w:rPr>
                      </w:pPr>
                      <w:r>
                        <w:rPr>
                          <w:rFonts w:asciiTheme="minorHAnsi" w:hAnsiTheme="minorHAnsi"/>
                          <w:b/>
                          <w:sz w:val="20"/>
                        </w:rPr>
                        <w:t xml:space="preserve">Max season period </w:t>
                      </w:r>
                      <w:r>
                        <w:rPr>
                          <w:rFonts w:asciiTheme="minorHAnsi" w:hAnsiTheme="minorHAnsi"/>
                          <w:b/>
                          <w:sz w:val="20"/>
                        </w:rPr>
                        <w:tab/>
                      </w:r>
                      <w:r w:rsidR="00EE7A5D">
                        <w:rPr>
                          <w:rFonts w:asciiTheme="minorHAnsi" w:hAnsiTheme="minorHAnsi"/>
                          <w:b/>
                          <w:sz w:val="20"/>
                        </w:rPr>
                        <w:t xml:space="preserve">153 </w:t>
                      </w:r>
                      <w:r>
                        <w:rPr>
                          <w:rFonts w:asciiTheme="minorHAnsi" w:hAnsiTheme="minorHAnsi"/>
                          <w:b/>
                          <w:sz w:val="20"/>
                        </w:rPr>
                        <w:t>days</w:t>
                      </w:r>
                    </w:p>
                    <w:p w:rsidR="008F0647" w:rsidRDefault="0079462E" w:rsidP="00DB3D3B">
                      <w:pPr>
                        <w:tabs>
                          <w:tab w:val="right" w:pos="3544"/>
                        </w:tabs>
                        <w:rPr>
                          <w:rFonts w:asciiTheme="minorHAnsi" w:hAnsiTheme="minorHAnsi"/>
                          <w:sz w:val="20"/>
                        </w:rPr>
                      </w:pPr>
                      <w:r>
                        <w:rPr>
                          <w:rFonts w:asciiTheme="minorHAnsi" w:hAnsiTheme="minorHAnsi"/>
                          <w:sz w:val="20"/>
                        </w:rPr>
                        <w:tab/>
                        <w:t>1 Jun to 31 Oct</w:t>
                      </w:r>
                    </w:p>
                    <w:p w:rsidR="008F0647" w:rsidRDefault="008F0647" w:rsidP="00ED3BDC">
                      <w:pPr>
                        <w:rPr>
                          <w:rFonts w:asciiTheme="minorHAnsi" w:hAnsiTheme="minorHAnsi"/>
                          <w:sz w:val="20"/>
                        </w:rPr>
                      </w:pPr>
                    </w:p>
                    <w:p w:rsidR="008F0647" w:rsidRDefault="0079462E" w:rsidP="00DB3D3B">
                      <w:pPr>
                        <w:tabs>
                          <w:tab w:val="right" w:pos="3544"/>
                        </w:tabs>
                        <w:rPr>
                          <w:rFonts w:asciiTheme="minorHAnsi" w:hAnsiTheme="minorHAnsi"/>
                          <w:b/>
                          <w:sz w:val="20"/>
                        </w:rPr>
                      </w:pPr>
                      <w:r>
                        <w:rPr>
                          <w:rFonts w:asciiTheme="minorHAnsi" w:hAnsiTheme="minorHAnsi"/>
                          <w:b/>
                          <w:sz w:val="20"/>
                        </w:rPr>
                        <w:t>Samples taken</w:t>
                      </w:r>
                      <w:r>
                        <w:rPr>
                          <w:rFonts w:asciiTheme="minorHAnsi" w:hAnsiTheme="minorHAnsi"/>
                          <w:b/>
                          <w:sz w:val="20"/>
                        </w:rPr>
                        <w:tab/>
                        <w:t>9699</w:t>
                      </w:r>
                    </w:p>
                    <w:p w:rsidR="008F0647" w:rsidRDefault="008F0647" w:rsidP="00ED3BDC">
                      <w:pPr>
                        <w:rPr>
                          <w:rFonts w:asciiTheme="minorHAnsi" w:hAnsiTheme="minorHAnsi"/>
                          <w:sz w:val="20"/>
                        </w:rPr>
                      </w:pPr>
                    </w:p>
                    <w:p w:rsidR="008F0647" w:rsidRDefault="0079462E" w:rsidP="00DB3D3B">
                      <w:pPr>
                        <w:tabs>
                          <w:tab w:val="right" w:pos="3544"/>
                        </w:tabs>
                        <w:rPr>
                          <w:rFonts w:asciiTheme="minorHAnsi" w:hAnsiTheme="minorHAnsi"/>
                          <w:b/>
                          <w:sz w:val="20"/>
                        </w:rPr>
                      </w:pPr>
                      <w:r>
                        <w:rPr>
                          <w:rFonts w:asciiTheme="minorHAnsi" w:hAnsiTheme="minorHAnsi"/>
                          <w:b/>
                          <w:sz w:val="20"/>
                        </w:rPr>
                        <w:t xml:space="preserve">Share of bathing waters </w:t>
                      </w:r>
                      <w:r>
                        <w:rPr>
                          <w:rFonts w:asciiTheme="minorHAnsi" w:hAnsiTheme="minorHAnsi"/>
                          <w:b/>
                          <w:sz w:val="20"/>
                        </w:rPr>
                        <w:tab/>
                        <w:t>97 %</w:t>
                      </w:r>
                    </w:p>
                    <w:p w:rsidR="008F0647" w:rsidRDefault="0079462E" w:rsidP="00ED3BDC">
                      <w:pPr>
                        <w:rPr>
                          <w:rFonts w:asciiTheme="minorHAnsi" w:hAnsiTheme="minorHAnsi"/>
                          <w:b/>
                          <w:sz w:val="20"/>
                        </w:rPr>
                      </w:pPr>
                      <w:r>
                        <w:rPr>
                          <w:rFonts w:asciiTheme="minorHAnsi" w:hAnsiTheme="minorHAnsi"/>
                          <w:b/>
                          <w:sz w:val="20"/>
                        </w:rPr>
                        <w:t xml:space="preserve">with good or excellent </w:t>
                      </w:r>
                    </w:p>
                    <w:p w:rsidR="008F0647" w:rsidRDefault="0079462E" w:rsidP="00ED3BDC">
                      <w:pPr>
                        <w:rPr>
                          <w:rFonts w:asciiTheme="minorHAnsi" w:hAnsiTheme="minorHAnsi"/>
                          <w:b/>
                          <w:sz w:val="20"/>
                        </w:rPr>
                      </w:pPr>
                      <w:r>
                        <w:rPr>
                          <w:rFonts w:asciiTheme="minorHAnsi" w:hAnsiTheme="minorHAnsi"/>
                          <w:b/>
                          <w:sz w:val="20"/>
                        </w:rPr>
                        <w:t>water quality</w:t>
                      </w:r>
                    </w:p>
                    <w:p w:rsidR="008F0647" w:rsidRDefault="008F0647" w:rsidP="00ED3BDC">
                      <w:pPr>
                        <w:rPr>
                          <w:rFonts w:asciiTheme="minorHAnsi" w:hAnsiTheme="minorHAnsi"/>
                          <w:sz w:val="20"/>
                        </w:rPr>
                      </w:pPr>
                    </w:p>
                    <w:p w:rsidR="008F0647" w:rsidRDefault="00954462" w:rsidP="00DB3D3B">
                      <w:pPr>
                        <w:tabs>
                          <w:tab w:val="right" w:pos="3544"/>
                        </w:tabs>
                        <w:rPr>
                          <w:rFonts w:asciiTheme="minorHAnsi" w:hAnsiTheme="minorHAnsi"/>
                          <w:b/>
                          <w:sz w:val="20"/>
                        </w:rPr>
                      </w:pPr>
                      <w:r>
                        <w:rPr>
                          <w:rFonts w:asciiTheme="minorHAnsi" w:hAnsiTheme="minorHAnsi"/>
                          <w:b/>
                          <w:sz w:val="20"/>
                        </w:rPr>
                        <w:t>Reporting under</w:t>
                      </w:r>
                      <w:r>
                        <w:rPr>
                          <w:rFonts w:asciiTheme="minorHAnsi" w:hAnsiTheme="minorHAnsi"/>
                          <w:b/>
                          <w:sz w:val="20"/>
                        </w:rPr>
                        <w:tab/>
                        <w:t>2010</w:t>
                      </w:r>
                    </w:p>
                    <w:p w:rsidR="008F0647" w:rsidRDefault="008928A8" w:rsidP="00DB3D3B">
                      <w:pPr>
                        <w:tabs>
                          <w:tab w:val="right" w:pos="3544"/>
                        </w:tabs>
                        <w:rPr>
                          <w:rFonts w:asciiTheme="minorHAnsi" w:hAnsiTheme="minorHAnsi"/>
                          <w:b/>
                          <w:sz w:val="20"/>
                        </w:rPr>
                      </w:pPr>
                      <w:r>
                        <w:rPr>
                          <w:rFonts w:asciiTheme="minorHAnsi" w:hAnsiTheme="minorHAnsi"/>
                          <w:b/>
                          <w:sz w:val="20"/>
                        </w:rPr>
                        <w:t>Directive 2006/7/EC since</w:t>
                      </w:r>
                    </w:p>
                  </w:txbxContent>
                </v:textbox>
                <w10:wrap type="square"/>
              </v:shape>
            </w:pict>
          </mc:Fallback>
        </mc:AlternateContent>
      </w:r>
      <w:r>
        <w:t>In the 2017 bathing season, 1598 bathing waters have been reported in Greece. For each bathing water, five groups of parameters have been delivered</w:t>
      </w:r>
      <w:r>
        <w:rPr>
          <w:rStyle w:val="FootnoteReference"/>
        </w:rPr>
        <w:footnoteReference w:id="3"/>
      </w:r>
      <w:r>
        <w:t>:</w:t>
      </w:r>
    </w:p>
    <w:p w:rsidR="008F0647"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identification data</w:t>
      </w:r>
      <w:r>
        <w:rPr>
          <w:rFonts w:asciiTheme="majorHAnsi" w:hAnsiTheme="majorHAnsi"/>
          <w:sz w:val="22"/>
          <w:szCs w:val="22"/>
        </w:rPr>
        <w:t xml:space="preserve"> – including name, location, coastal, inland or transitional type of bathing water and availability to bathers;</w:t>
      </w:r>
    </w:p>
    <w:p w:rsidR="008F0647"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seasonal data</w:t>
      </w:r>
      <w:r>
        <w:rPr>
          <w:rFonts w:asciiTheme="majorHAnsi" w:hAnsiTheme="majorHAnsi"/>
          <w:sz w:val="22"/>
          <w:szCs w:val="22"/>
        </w:rPr>
        <w:t xml:space="preserve"> – including season start and end, national quality classification in the recent season, potential management measures and changes that are likely to affect the classification of the bathing water;</w:t>
      </w:r>
    </w:p>
    <w:p w:rsidR="008F0647"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monitoring results</w:t>
      </w:r>
      <w:r>
        <w:rPr>
          <w:rFonts w:asciiTheme="majorHAnsi" w:hAnsiTheme="majorHAnsi"/>
          <w:sz w:val="22"/>
          <w:szCs w:val="22"/>
        </w:rPr>
        <w:t xml:space="preserve"> – disaggregated numerical values of two microbiological parameters – intestinal enterococci and Escherichia coli (also known as E. coli), recorded at each water sample taken;</w:t>
      </w:r>
    </w:p>
    <w:p w:rsidR="008F0647" w:rsidRDefault="0079462E" w:rsidP="00A45A95">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abnormal situation periods</w:t>
      </w:r>
      <w:r>
        <w:rPr>
          <w:rFonts w:asciiTheme="majorHAnsi" w:hAnsiTheme="majorHAnsi"/>
          <w:sz w:val="22"/>
          <w:szCs w:val="22"/>
        </w:rPr>
        <w:t xml:space="preserve"> – periods of an event or combination of events impacting on bathing water quality, during which monitoring calendar may be suspended; reporting is optional;</w:t>
      </w:r>
    </w:p>
    <w:p w:rsidR="008F0647"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short-term pollution periods</w:t>
      </w:r>
      <w:r>
        <w:rPr>
          <w:rFonts w:asciiTheme="majorHAnsi" w:hAnsiTheme="majorHAnsi"/>
          <w:sz w:val="22"/>
          <w:szCs w:val="22"/>
        </w:rPr>
        <w:t xml:space="preserve"> – measurable events of microbiological contamination; reporting is optional.</w:t>
      </w:r>
    </w:p>
    <w:p w:rsidR="008F0647" w:rsidRDefault="008F0647" w:rsidP="00ED3BDC"/>
    <w:p w:rsidR="008F0647" w:rsidRDefault="0079462E" w:rsidP="00ED3BDC">
      <w:r>
        <w:t xml:space="preserve">The authorities of </w:t>
      </w:r>
      <w:r>
        <w:rPr>
          <w:rFonts w:ascii="Cambria" w:hAnsi="Cambria"/>
        </w:rPr>
        <w:t>Greece</w:t>
      </w:r>
      <w:r>
        <w:t xml:space="preserve"> report data according to the new BWD (2006/7/EC) since the season </w:t>
      </w:r>
      <w:r>
        <w:rPr>
          <w:rFonts w:ascii="Cambria" w:hAnsi="Cambria"/>
        </w:rPr>
        <w:t>2010</w:t>
      </w:r>
      <w:r>
        <w:t>.</w:t>
      </w:r>
    </w:p>
    <w:p w:rsidR="008F0647" w:rsidRDefault="008F0647" w:rsidP="00ED3BDC"/>
    <w:p w:rsidR="008F0647" w:rsidRDefault="0079462E" w:rsidP="00ED3BDC">
      <w:r>
        <w:t xml:space="preserve">Altogether, </w:t>
      </w:r>
      <w:r>
        <w:rPr>
          <w:rFonts w:ascii="Cambria" w:hAnsi="Cambria"/>
          <w:b/>
        </w:rPr>
        <w:t>1598</w:t>
      </w:r>
      <w:r>
        <w:rPr>
          <w:rFonts w:ascii="Cambria" w:hAnsi="Cambria"/>
        </w:rPr>
        <w:t xml:space="preserve"> </w:t>
      </w:r>
      <w:r>
        <w:rPr>
          <w:b/>
        </w:rPr>
        <w:t xml:space="preserve">bathing waters </w:t>
      </w:r>
      <w:r>
        <w:t xml:space="preserve">have been reported – 7.3% of all bathing waters in Europe. </w:t>
      </w:r>
      <w:r w:rsidR="00EE7A5D">
        <w:t>58</w:t>
      </w:r>
      <w:r>
        <w:t xml:space="preserve"> bathing waters have been newly reported in the recent season. </w:t>
      </w:r>
      <w:r w:rsidR="00EE7A5D">
        <w:t>All</w:t>
      </w:r>
      <w:r>
        <w:t xml:space="preserve"> bathing waters in Greece are of coastal type. </w:t>
      </w:r>
      <w:r>
        <w:rPr>
          <w:b/>
        </w:rPr>
        <w:t>9699 samples</w:t>
      </w:r>
      <w:r>
        <w:t xml:space="preserve"> were taken at bathing waters throughout the season – 6 per bathing water on average.</w:t>
      </w:r>
    </w:p>
    <w:p w:rsidR="008F0647" w:rsidRDefault="008F0647" w:rsidP="00ED3BDC"/>
    <w:p w:rsidR="008F0647" w:rsidRDefault="002B438D" w:rsidP="00ED3BDC">
      <w:r>
        <w:t>The bathing season period was from 1 June to 31 October</w:t>
      </w:r>
      <w:r w:rsidR="00EE7A5D">
        <w:t>, i.e. 153 days altogether.</w:t>
      </w:r>
    </w:p>
    <w:p w:rsidR="008F0647" w:rsidRDefault="008F0647" w:rsidP="00ED3BDC"/>
    <w:p w:rsidR="008F0647" w:rsidRDefault="002B438D" w:rsidP="00ED3BDC">
      <w:r>
        <w:t xml:space="preserve">Detailed information on bathing waters is available from national portal at </w:t>
      </w:r>
      <w:hyperlink r:id="rId9" w:history="1">
        <w:r w:rsidR="00EE7A5D" w:rsidRPr="003F4ABB">
          <w:rPr>
            <w:rStyle w:val="Hyperlink"/>
          </w:rPr>
          <w:t>http://www.bathingwaterprofiles.gr/</w:t>
        </w:r>
      </w:hyperlink>
      <w:r>
        <w:t>.</w:t>
      </w:r>
    </w:p>
    <w:p w:rsidR="008F0647" w:rsidRDefault="008F0647" w:rsidP="00ED3BDC"/>
    <w:p w:rsidR="008F0647" w:rsidRDefault="008F0647" w:rsidP="00ED3BDC"/>
    <w:p w:rsidR="008F0647" w:rsidRDefault="002B438D" w:rsidP="00ED3BDC">
      <w:pPr>
        <w:pStyle w:val="Heading1"/>
      </w:pPr>
      <w:r>
        <w:t>Assessment methodology</w:t>
      </w:r>
      <w:r>
        <w:rPr>
          <w:rStyle w:val="FootnoteReference"/>
        </w:rPr>
        <w:footnoteReference w:id="4"/>
      </w:r>
    </w:p>
    <w:p w:rsidR="008F0647" w:rsidRDefault="008F0647" w:rsidP="00ED3BDC"/>
    <w:p w:rsidR="008F0647" w:rsidRDefault="000C352B" w:rsidP="00ED3BDC">
      <w:r>
        <w:t xml:space="preserve">During the bathing season, water samples are taken and analysed for two bacteria, </w:t>
      </w:r>
      <w:r>
        <w:rPr>
          <w:i/>
        </w:rPr>
        <w:t>Escherichia coli</w:t>
      </w:r>
      <w:r>
        <w:t xml:space="preserve"> and intestinal enterococci which may indicate the presence of pollution, usually originating in sewage, livestock waste, bird faeces etc. The results of the analysis are used to assess the quality of the bathing waters concerned and to provide information to the public on the quality of water in the bathing sites concerned.</w:t>
      </w:r>
    </w:p>
    <w:p w:rsidR="008F0647" w:rsidRDefault="008F0647" w:rsidP="00ED3BDC"/>
    <w:p w:rsidR="008F0647" w:rsidRDefault="003F038E" w:rsidP="00ED3BDC">
      <w:r>
        <w:t>The monitoring requirements under the Directive are:</w:t>
      </w:r>
    </w:p>
    <w:p w:rsidR="008F0647" w:rsidRDefault="003F038E" w:rsidP="003F038E">
      <w:pPr>
        <w:pStyle w:val="ListParagraph"/>
        <w:numPr>
          <w:ilvl w:val="0"/>
          <w:numId w:val="3"/>
        </w:numPr>
        <w:rPr>
          <w:rFonts w:asciiTheme="majorHAnsi" w:hAnsiTheme="majorHAnsi"/>
          <w:sz w:val="22"/>
          <w:szCs w:val="22"/>
        </w:rPr>
      </w:pPr>
      <w:r>
        <w:rPr>
          <w:rFonts w:asciiTheme="majorHAnsi" w:hAnsiTheme="majorHAnsi"/>
          <w:sz w:val="22"/>
          <w:szCs w:val="22"/>
        </w:rPr>
        <w:t>taking a pre-season sample (taken shortly before the start of the bathing season)</w:t>
      </w:r>
      <w:r>
        <w:rPr>
          <w:rStyle w:val="FootnoteReference"/>
          <w:rFonts w:asciiTheme="majorHAnsi" w:hAnsiTheme="majorHAnsi"/>
          <w:sz w:val="22"/>
          <w:szCs w:val="22"/>
        </w:rPr>
        <w:t xml:space="preserve"> </w:t>
      </w:r>
      <w:r>
        <w:rPr>
          <w:rStyle w:val="FootnoteReference"/>
          <w:rFonts w:asciiTheme="majorHAnsi" w:hAnsiTheme="majorHAnsi"/>
          <w:sz w:val="22"/>
          <w:szCs w:val="22"/>
        </w:rPr>
        <w:footnoteReference w:id="5"/>
      </w:r>
      <w:r>
        <w:rPr>
          <w:rFonts w:asciiTheme="majorHAnsi" w:hAnsiTheme="majorHAnsi"/>
          <w:sz w:val="22"/>
          <w:szCs w:val="22"/>
        </w:rPr>
        <w:t>;</w:t>
      </w:r>
    </w:p>
    <w:p w:rsidR="008F0647" w:rsidRDefault="003F038E" w:rsidP="003F038E">
      <w:pPr>
        <w:pStyle w:val="ListParagraph"/>
        <w:numPr>
          <w:ilvl w:val="0"/>
          <w:numId w:val="3"/>
        </w:numPr>
        <w:rPr>
          <w:rFonts w:asciiTheme="majorHAnsi" w:hAnsiTheme="majorHAnsi"/>
          <w:sz w:val="22"/>
          <w:szCs w:val="22"/>
        </w:rPr>
      </w:pPr>
      <w:r>
        <w:rPr>
          <w:rFonts w:asciiTheme="majorHAnsi" w:hAnsiTheme="majorHAnsi"/>
          <w:sz w:val="22"/>
          <w:szCs w:val="22"/>
        </w:rPr>
        <w:t>a minimum of four samples per season</w:t>
      </w:r>
      <w:r>
        <w:rPr>
          <w:rStyle w:val="FootnoteReference"/>
          <w:rFonts w:asciiTheme="majorHAnsi" w:hAnsiTheme="majorHAnsi"/>
          <w:sz w:val="22"/>
          <w:szCs w:val="22"/>
        </w:rPr>
        <w:footnoteReference w:id="6"/>
      </w:r>
      <w:r>
        <w:rPr>
          <w:rFonts w:asciiTheme="majorHAnsi" w:hAnsiTheme="majorHAnsi"/>
          <w:sz w:val="22"/>
          <w:szCs w:val="22"/>
        </w:rPr>
        <w:t>;</w:t>
      </w:r>
    </w:p>
    <w:p w:rsidR="008F0647" w:rsidRDefault="002B438D" w:rsidP="00ED3BDC">
      <w:pPr>
        <w:pStyle w:val="ListParagraph"/>
        <w:numPr>
          <w:ilvl w:val="0"/>
          <w:numId w:val="2"/>
        </w:numPr>
        <w:rPr>
          <w:rFonts w:asciiTheme="majorHAnsi" w:hAnsiTheme="majorHAnsi"/>
          <w:sz w:val="22"/>
          <w:szCs w:val="22"/>
        </w:rPr>
      </w:pPr>
      <w:r>
        <w:rPr>
          <w:rFonts w:asciiTheme="majorHAnsi" w:hAnsiTheme="majorHAnsi"/>
          <w:sz w:val="22"/>
          <w:szCs w:val="22"/>
        </w:rPr>
        <w:t>a minimum of one sample per month</w:t>
      </w:r>
      <w:r>
        <w:rPr>
          <w:rStyle w:val="FootnoteReference"/>
          <w:rFonts w:asciiTheme="majorHAnsi" w:hAnsiTheme="majorHAnsi"/>
          <w:sz w:val="22"/>
          <w:szCs w:val="22"/>
        </w:rPr>
        <w:footnoteReference w:id="7"/>
      </w:r>
      <w:r>
        <w:rPr>
          <w:rFonts w:asciiTheme="majorHAnsi" w:hAnsiTheme="majorHAnsi"/>
          <w:sz w:val="22"/>
          <w:szCs w:val="22"/>
        </w:rPr>
        <w:t>.</w:t>
      </w:r>
    </w:p>
    <w:p w:rsidR="008F0647" w:rsidRDefault="008F0647" w:rsidP="00ED3BDC"/>
    <w:p w:rsidR="008F0647" w:rsidRDefault="003F038E" w:rsidP="003F038E">
      <w:r>
        <w:t xml:space="preserve">If these rules are satisfied, the bathing water is categorised as 'sampling frequency satisfied'. If not all monitoring requirements are fulfilled the bathing water is categorised as 'not enough samples'. 89.9% of bathing waters met the described monitoring requirements set by the Directive, while the rest did not satisfy monitoring requirements for different reasons: being new; having changed environmental conditions that might affect water quality classification; closed; not monitored due to legal issues, physical inaccessibility to the site etc. </w:t>
      </w:r>
      <w:r>
        <w:fldChar w:fldCharType="begin"/>
      </w:r>
      <w:r>
        <w:instrText xml:space="preserve"> REF _Ref451270757 \h </w:instrText>
      </w:r>
      <w:r>
        <w:fldChar w:fldCharType="separate"/>
      </w:r>
      <w:r>
        <w:t>Table 1</w:t>
      </w:r>
      <w:r>
        <w:fldChar w:fldCharType="end"/>
      </w:r>
      <w:r>
        <w:t xml:space="preserve"> shows the statistics of bathing waters according to monitoring requirements.</w:t>
      </w:r>
    </w:p>
    <w:p w:rsidR="008F0647" w:rsidRDefault="008F0647" w:rsidP="00ED3BDC"/>
    <w:p w:rsidR="008F0647" w:rsidRDefault="00484359" w:rsidP="001F33BA">
      <w:pPr>
        <w:pStyle w:val="Caption"/>
        <w:keepNext/>
        <w:spacing w:after="120"/>
      </w:pPr>
      <w:bookmarkStart w:id="0" w:name="_Ref451270757"/>
      <w:r>
        <w:t xml:space="preserve">Table </w:t>
      </w:r>
      <w:r>
        <w:fldChar w:fldCharType="begin"/>
      </w:r>
      <w:r>
        <w:instrText xml:space="preserve"> SEQ Table \* ARABIC </w:instrText>
      </w:r>
      <w:r>
        <w:fldChar w:fldCharType="separate"/>
      </w:r>
      <w:r>
        <w:t>1</w:t>
      </w:r>
      <w:r>
        <w:fldChar w:fldCharType="end"/>
      </w:r>
      <w:bookmarkEnd w:id="0"/>
      <w:r>
        <w:t>: Bathing waters in 2017 according to compliance with BWD monitoring provisions</w:t>
      </w: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379"/>
        <w:gridCol w:w="1701"/>
        <w:gridCol w:w="1701"/>
      </w:tblGrid>
      <w:tr w:rsidR="008F0647" w:rsidTr="00484359">
        <w:trPr>
          <w:trHeight w:val="343"/>
        </w:trPr>
        <w:tc>
          <w:tcPr>
            <w:tcW w:w="6379" w:type="dxa"/>
            <w:shd w:val="clear" w:color="auto" w:fill="F2F2F2" w:themeFill="background1" w:themeFillShade="F2"/>
            <w:vAlign w:val="center"/>
          </w:tcPr>
          <w:p w:rsidR="008F0647" w:rsidRDefault="008F0647" w:rsidP="00484359">
            <w:pPr>
              <w:jc w:val="left"/>
              <w:rPr>
                <w:rFonts w:asciiTheme="minorHAnsi" w:hAnsiTheme="minorHAnsi"/>
                <w:b/>
                <w:sz w:val="20"/>
              </w:rPr>
            </w:pPr>
          </w:p>
        </w:tc>
        <w:tc>
          <w:tcPr>
            <w:tcW w:w="1701" w:type="dxa"/>
            <w:shd w:val="clear" w:color="auto" w:fill="F2F2F2" w:themeFill="background1" w:themeFillShade="F2"/>
            <w:vAlign w:val="center"/>
          </w:tcPr>
          <w:p w:rsidR="008F0647" w:rsidRDefault="00484359" w:rsidP="00484359">
            <w:pPr>
              <w:jc w:val="left"/>
              <w:rPr>
                <w:rFonts w:asciiTheme="minorHAnsi" w:hAnsiTheme="minorHAnsi"/>
                <w:b/>
                <w:sz w:val="20"/>
              </w:rPr>
            </w:pPr>
            <w:r>
              <w:rPr>
                <w:rFonts w:asciiTheme="minorHAnsi" w:hAnsiTheme="minorHAnsi"/>
                <w:b/>
                <w:sz w:val="20"/>
              </w:rPr>
              <w:t>Count</w:t>
            </w:r>
          </w:p>
        </w:tc>
        <w:tc>
          <w:tcPr>
            <w:tcW w:w="1701" w:type="dxa"/>
            <w:shd w:val="clear" w:color="auto" w:fill="F2F2F2" w:themeFill="background1" w:themeFillShade="F2"/>
            <w:vAlign w:val="center"/>
          </w:tcPr>
          <w:p w:rsidR="008F0647" w:rsidRDefault="00484359" w:rsidP="00484359">
            <w:pPr>
              <w:jc w:val="left"/>
              <w:rPr>
                <w:rFonts w:asciiTheme="minorHAnsi" w:hAnsiTheme="minorHAnsi"/>
                <w:b/>
                <w:sz w:val="20"/>
              </w:rPr>
            </w:pPr>
            <w:r>
              <w:rPr>
                <w:rFonts w:asciiTheme="minorHAnsi" w:hAnsiTheme="minorHAnsi"/>
                <w:b/>
                <w:sz w:val="20"/>
              </w:rPr>
              <w:t>Share of total [%]</w:t>
            </w:r>
          </w:p>
        </w:tc>
      </w:tr>
      <w:tr w:rsidR="008F0647" w:rsidTr="00484359">
        <w:tc>
          <w:tcPr>
            <w:tcW w:w="6379" w:type="dxa"/>
          </w:tcPr>
          <w:p w:rsidR="008F0647" w:rsidRDefault="00025D01" w:rsidP="00484359">
            <w:pPr>
              <w:jc w:val="left"/>
              <w:rPr>
                <w:rFonts w:asciiTheme="minorHAnsi" w:hAnsiTheme="minorHAnsi"/>
                <w:b/>
                <w:sz w:val="20"/>
              </w:rPr>
            </w:pPr>
            <w:r>
              <w:rPr>
                <w:rFonts w:asciiTheme="minorHAnsi" w:hAnsiTheme="minorHAnsi"/>
                <w:b/>
                <w:sz w:val="20"/>
              </w:rPr>
              <w:t xml:space="preserve">BWs with sampling frequency </w:t>
            </w:r>
            <w:r>
              <w:rPr>
                <w:rFonts w:asciiTheme="minorHAnsi" w:hAnsiTheme="minorHAnsi"/>
                <w:b/>
                <w:color w:val="006600"/>
                <w:sz w:val="20"/>
              </w:rPr>
              <w:t>satisfied (and are not new, are not subject to changes or were not closed in 2017)</w:t>
            </w:r>
          </w:p>
          <w:p w:rsidR="008F0647" w:rsidRDefault="00D8207F" w:rsidP="00B249A7">
            <w:pPr>
              <w:jc w:val="left"/>
              <w:rPr>
                <w:rFonts w:asciiTheme="minorHAnsi" w:hAnsiTheme="minorHAnsi"/>
                <w:sz w:val="20"/>
              </w:rPr>
            </w:pPr>
            <w:r>
              <w:rPr>
                <w:rFonts w:asciiTheme="minorHAnsi" w:hAnsiTheme="minorHAnsi"/>
                <w:color w:val="595959" w:themeColor="text1" w:themeTint="A6"/>
                <w:sz w:val="20"/>
              </w:rPr>
              <w:t>These bathing waters have been monitored according to provisions and have complete dataset from the last assessment period. They have been quality-classified (excellent, good, sufficient, poor).</w:t>
            </w:r>
          </w:p>
        </w:tc>
        <w:tc>
          <w:tcPr>
            <w:tcW w:w="1701" w:type="dxa"/>
            <w:vAlign w:val="center"/>
          </w:tcPr>
          <w:p w:rsidR="008F0647" w:rsidRDefault="006D2330" w:rsidP="00B14C10">
            <w:pPr>
              <w:jc w:val="right"/>
              <w:rPr>
                <w:rFonts w:asciiTheme="minorHAnsi" w:hAnsiTheme="minorHAnsi"/>
                <w:sz w:val="20"/>
              </w:rPr>
            </w:pPr>
            <w:r>
              <w:rPr>
                <w:rFonts w:asciiTheme="minorHAnsi" w:hAnsiTheme="minorHAnsi"/>
                <w:sz w:val="20"/>
              </w:rPr>
              <w:t>1437</w:t>
            </w:r>
          </w:p>
        </w:tc>
        <w:tc>
          <w:tcPr>
            <w:tcW w:w="1701" w:type="dxa"/>
            <w:vAlign w:val="center"/>
          </w:tcPr>
          <w:p w:rsidR="008F0647" w:rsidRDefault="004D61EC" w:rsidP="00B14C10">
            <w:pPr>
              <w:jc w:val="right"/>
              <w:rPr>
                <w:rFonts w:asciiTheme="minorHAnsi" w:hAnsiTheme="minorHAnsi"/>
                <w:b/>
                <w:sz w:val="20"/>
              </w:rPr>
            </w:pPr>
            <w:r>
              <w:rPr>
                <w:rFonts w:asciiTheme="minorHAnsi" w:hAnsiTheme="minorHAnsi"/>
                <w:sz w:val="20"/>
              </w:rPr>
              <w:t>89.9%</w:t>
            </w:r>
          </w:p>
        </w:tc>
      </w:tr>
      <w:tr w:rsidR="008F0647" w:rsidTr="00484359">
        <w:tc>
          <w:tcPr>
            <w:tcW w:w="6379" w:type="dxa"/>
          </w:tcPr>
          <w:p w:rsidR="008F0647" w:rsidRDefault="00025D01" w:rsidP="00484359">
            <w:pPr>
              <w:jc w:val="left"/>
              <w:rPr>
                <w:rFonts w:asciiTheme="minorHAnsi" w:hAnsiTheme="minorHAnsi"/>
                <w:b/>
                <w:sz w:val="20"/>
              </w:rPr>
            </w:pPr>
            <w:r>
              <w:rPr>
                <w:rFonts w:asciiTheme="minorHAnsi" w:hAnsiTheme="minorHAnsi"/>
                <w:b/>
                <w:sz w:val="20"/>
              </w:rPr>
              <w:t xml:space="preserve">BWs with sampling frequency </w:t>
            </w:r>
            <w:r>
              <w:rPr>
                <w:rFonts w:asciiTheme="minorHAnsi" w:hAnsiTheme="minorHAnsi"/>
                <w:b/>
                <w:color w:val="800000"/>
                <w:sz w:val="20"/>
              </w:rPr>
              <w:t>not satisfied (and are not new, are not subject to changes or were not closed in 2017)</w:t>
            </w:r>
          </w:p>
          <w:p w:rsidR="008F0647" w:rsidRDefault="00025D01" w:rsidP="00B249A7">
            <w:pPr>
              <w:jc w:val="left"/>
              <w:rPr>
                <w:rFonts w:asciiTheme="minorHAnsi" w:hAnsiTheme="minorHAnsi"/>
                <w:sz w:val="20"/>
              </w:rPr>
            </w:pPr>
            <w:r>
              <w:rPr>
                <w:rFonts w:asciiTheme="minorHAnsi" w:hAnsiTheme="minorHAnsi"/>
                <w:color w:val="595959" w:themeColor="text1" w:themeTint="A6"/>
                <w:sz w:val="20"/>
              </w:rPr>
              <w:t>These bathing waters exist throughout the last assessment period but have not been monitored throughout the period according to provisions for various individual reasons. They may be quality-classified if there is an adequate volume of samples available for credible classification.</w:t>
            </w:r>
          </w:p>
        </w:tc>
        <w:tc>
          <w:tcPr>
            <w:tcW w:w="1701" w:type="dxa"/>
            <w:vAlign w:val="center"/>
          </w:tcPr>
          <w:p w:rsidR="008F0647" w:rsidRDefault="006710BD" w:rsidP="00B14C10">
            <w:pPr>
              <w:jc w:val="right"/>
              <w:rPr>
                <w:rFonts w:asciiTheme="minorHAnsi" w:hAnsiTheme="minorHAnsi"/>
                <w:b/>
                <w:sz w:val="20"/>
              </w:rPr>
            </w:pPr>
            <w:r>
              <w:rPr>
                <w:rFonts w:asciiTheme="minorHAnsi" w:hAnsiTheme="minorHAnsi"/>
                <w:sz w:val="20"/>
              </w:rPr>
              <w:t>108</w:t>
            </w:r>
          </w:p>
        </w:tc>
        <w:tc>
          <w:tcPr>
            <w:tcW w:w="1701" w:type="dxa"/>
            <w:vAlign w:val="center"/>
          </w:tcPr>
          <w:p w:rsidR="008F0647" w:rsidRDefault="004D61EC" w:rsidP="00484359">
            <w:pPr>
              <w:jc w:val="right"/>
              <w:rPr>
                <w:rFonts w:asciiTheme="minorHAnsi" w:hAnsiTheme="minorHAnsi"/>
                <w:b/>
                <w:sz w:val="20"/>
              </w:rPr>
            </w:pPr>
            <w:r>
              <w:rPr>
                <w:rFonts w:asciiTheme="minorHAnsi" w:hAnsiTheme="minorHAnsi"/>
                <w:sz w:val="20"/>
              </w:rPr>
              <w:t>6.8%</w:t>
            </w:r>
          </w:p>
        </w:tc>
      </w:tr>
      <w:tr w:rsidR="008F0647" w:rsidTr="00484359">
        <w:tc>
          <w:tcPr>
            <w:tcW w:w="6379" w:type="dxa"/>
          </w:tcPr>
          <w:p w:rsidR="008F0647" w:rsidRDefault="00D8207F" w:rsidP="00484359">
            <w:pPr>
              <w:jc w:val="left"/>
              <w:rPr>
                <w:rFonts w:asciiTheme="minorHAnsi" w:hAnsiTheme="minorHAnsi"/>
                <w:b/>
                <w:sz w:val="20"/>
              </w:rPr>
            </w:pPr>
            <w:r>
              <w:rPr>
                <w:rFonts w:asciiTheme="minorHAnsi" w:hAnsiTheme="minorHAnsi"/>
                <w:b/>
                <w:sz w:val="20"/>
              </w:rPr>
              <w:t>BWs that are new, subject to changes or closed in 2017</w:t>
            </w:r>
          </w:p>
          <w:p w:rsidR="008F0647" w:rsidRDefault="00B249A7" w:rsidP="00B249A7">
            <w:pPr>
              <w:jc w:val="left"/>
              <w:rPr>
                <w:rFonts w:asciiTheme="minorHAnsi" w:hAnsiTheme="minorHAnsi"/>
                <w:sz w:val="20"/>
              </w:rPr>
            </w:pPr>
            <w:r>
              <w:rPr>
                <w:rFonts w:asciiTheme="minorHAnsi" w:hAnsiTheme="minorHAnsi"/>
                <w:color w:val="595959" w:themeColor="text1" w:themeTint="A6"/>
                <w:sz w:val="20"/>
              </w:rPr>
              <w:t xml:space="preserve">These bathing waters do not have complete dataset for the last assessment </w:t>
            </w:r>
            <w:r>
              <w:rPr>
                <w:rFonts w:asciiTheme="minorHAnsi" w:hAnsiTheme="minorHAnsi"/>
                <w:color w:val="595959" w:themeColor="text1" w:themeTint="A6"/>
                <w:sz w:val="20"/>
              </w:rPr>
              <w:lastRenderedPageBreak/>
              <w:t>period because they are new, have been subject to changes (that are likely to affect the classification of the bathing water) or have been closed. They cannot be quality-classified.</w:t>
            </w:r>
          </w:p>
        </w:tc>
        <w:tc>
          <w:tcPr>
            <w:tcW w:w="1701" w:type="dxa"/>
            <w:vAlign w:val="center"/>
          </w:tcPr>
          <w:p w:rsidR="008F0647" w:rsidRDefault="006710BD" w:rsidP="00B14C10">
            <w:pPr>
              <w:jc w:val="right"/>
              <w:rPr>
                <w:rFonts w:asciiTheme="minorHAnsi" w:hAnsiTheme="minorHAnsi"/>
                <w:b/>
                <w:sz w:val="20"/>
              </w:rPr>
            </w:pPr>
            <w:r>
              <w:rPr>
                <w:rFonts w:asciiTheme="minorHAnsi" w:hAnsiTheme="minorHAnsi"/>
                <w:sz w:val="20"/>
              </w:rPr>
              <w:lastRenderedPageBreak/>
              <w:t>53</w:t>
            </w:r>
          </w:p>
        </w:tc>
        <w:tc>
          <w:tcPr>
            <w:tcW w:w="1701" w:type="dxa"/>
            <w:vAlign w:val="center"/>
          </w:tcPr>
          <w:p w:rsidR="008F0647" w:rsidRDefault="004D61EC" w:rsidP="00B14C10">
            <w:pPr>
              <w:jc w:val="right"/>
              <w:rPr>
                <w:rFonts w:asciiTheme="minorHAnsi" w:hAnsiTheme="minorHAnsi"/>
                <w:b/>
                <w:sz w:val="20"/>
              </w:rPr>
            </w:pPr>
            <w:r>
              <w:rPr>
                <w:rFonts w:asciiTheme="minorHAnsi" w:hAnsiTheme="minorHAnsi"/>
                <w:sz w:val="20"/>
              </w:rPr>
              <w:t>3.3%</w:t>
            </w:r>
          </w:p>
        </w:tc>
      </w:tr>
      <w:tr w:rsidR="008F0647" w:rsidTr="00484359">
        <w:trPr>
          <w:trHeight w:val="323"/>
        </w:trPr>
        <w:tc>
          <w:tcPr>
            <w:tcW w:w="6379" w:type="dxa"/>
            <w:shd w:val="clear" w:color="auto" w:fill="F2F2F2" w:themeFill="background1" w:themeFillShade="F2"/>
            <w:vAlign w:val="center"/>
          </w:tcPr>
          <w:p w:rsidR="008F0647" w:rsidRDefault="00025D01" w:rsidP="00D10D4B">
            <w:pPr>
              <w:jc w:val="left"/>
              <w:rPr>
                <w:rFonts w:asciiTheme="minorHAnsi" w:hAnsiTheme="minorHAnsi"/>
                <w:b/>
                <w:sz w:val="20"/>
              </w:rPr>
            </w:pPr>
            <w:r>
              <w:rPr>
                <w:rFonts w:asciiTheme="minorHAnsi" w:hAnsiTheme="minorHAnsi"/>
                <w:b/>
                <w:sz w:val="20"/>
              </w:rPr>
              <w:lastRenderedPageBreak/>
              <w:t>Total number of bathing waters in 2017</w:t>
            </w:r>
          </w:p>
        </w:tc>
        <w:tc>
          <w:tcPr>
            <w:tcW w:w="1701" w:type="dxa"/>
            <w:shd w:val="clear" w:color="auto" w:fill="F2F2F2" w:themeFill="background1" w:themeFillShade="F2"/>
            <w:vAlign w:val="center"/>
          </w:tcPr>
          <w:p w:rsidR="008F0647" w:rsidRDefault="00993FEC" w:rsidP="00484359">
            <w:pPr>
              <w:jc w:val="right"/>
              <w:rPr>
                <w:rFonts w:asciiTheme="minorHAnsi" w:hAnsiTheme="minorHAnsi"/>
                <w:b/>
                <w:sz w:val="20"/>
              </w:rPr>
            </w:pPr>
            <w:r>
              <w:rPr>
                <w:rFonts w:asciiTheme="minorHAnsi" w:hAnsiTheme="minorHAnsi"/>
                <w:b/>
                <w:sz w:val="20"/>
              </w:rPr>
              <w:t>1598</w:t>
            </w:r>
          </w:p>
        </w:tc>
        <w:tc>
          <w:tcPr>
            <w:tcW w:w="1701" w:type="dxa"/>
            <w:shd w:val="clear" w:color="auto" w:fill="F2F2F2" w:themeFill="background1" w:themeFillShade="F2"/>
            <w:vAlign w:val="center"/>
          </w:tcPr>
          <w:p w:rsidR="008F0647" w:rsidRDefault="004943BD" w:rsidP="004943BD">
            <w:pPr>
              <w:jc w:val="right"/>
              <w:rPr>
                <w:rFonts w:asciiTheme="minorHAnsi" w:hAnsiTheme="minorHAnsi"/>
                <w:b/>
                <w:sz w:val="20"/>
              </w:rPr>
            </w:pPr>
            <w:r>
              <w:rPr>
                <w:rFonts w:asciiTheme="minorHAnsi" w:hAnsiTheme="minorHAnsi"/>
                <w:b/>
                <w:sz w:val="20"/>
              </w:rPr>
              <w:t>100%</w:t>
            </w:r>
          </w:p>
        </w:tc>
      </w:tr>
    </w:tbl>
    <w:p w:rsidR="008F0647" w:rsidRDefault="008F0647" w:rsidP="00ED3BDC"/>
    <w:p w:rsidR="008F0647" w:rsidRDefault="002F24A6" w:rsidP="00783E42">
      <w:r>
        <w:t>Bathing waters where sampling frequency was not satisfied can still be quality assessed if at least four samples per season (three samples if the season does not exceed eight weeks or the region is subject to special geographical constraints) are available and equally distributed throughout the season. Assessment of bathing water quality is possible when the bathing water sample dataset is available for four consecutive seasons. Bathing waters are accordingly classified to one of the bathing water quality classes (excellent, good, sufficient, or poor).</w:t>
      </w:r>
    </w:p>
    <w:p w:rsidR="008F0647" w:rsidRDefault="008F0647" w:rsidP="00ED3BDC"/>
    <w:p w:rsidR="008F0647" w:rsidRDefault="002B438D" w:rsidP="00ED3BDC">
      <w:r>
        <w:t>The classification is based on pre-defined percentile values for microbiological enumerations, limiting the classes given in Annex I of the Directive. The Directive defines different limit values for coastal and inland waters.</w:t>
      </w:r>
    </w:p>
    <w:p w:rsidR="008F0647" w:rsidRDefault="008F0647" w:rsidP="00ED3BDC"/>
    <w:p w:rsidR="008F0647" w:rsidRDefault="002F24A6" w:rsidP="002F24A6">
      <w:r>
        <w:t>Quality assessment is not possible for all bathing waters. In these cases, they are instead classified as either:</w:t>
      </w:r>
    </w:p>
    <w:p w:rsidR="008F0647" w:rsidRDefault="002F24A6" w:rsidP="002F24A6">
      <w:pPr>
        <w:ind w:firstLine="284"/>
      </w:pPr>
      <w:r>
        <w:t>• not enough samples</w:t>
      </w:r>
      <w:r>
        <w:rPr>
          <w:rStyle w:val="FootnoteReference"/>
        </w:rPr>
        <w:footnoteReference w:id="8"/>
      </w:r>
      <w:r>
        <w:t>;</w:t>
      </w:r>
    </w:p>
    <w:p w:rsidR="008F0647" w:rsidRDefault="002F24A6" w:rsidP="002F24A6">
      <w:pPr>
        <w:ind w:firstLine="284"/>
      </w:pPr>
      <w:r>
        <w:t>• new</w:t>
      </w:r>
      <w:r>
        <w:rPr>
          <w:rStyle w:val="FootnoteReference"/>
        </w:rPr>
        <w:footnoteReference w:id="9"/>
      </w:r>
      <w:r>
        <w:t>;</w:t>
      </w:r>
    </w:p>
    <w:p w:rsidR="008F0647" w:rsidRDefault="00783E42" w:rsidP="00783E42">
      <w:pPr>
        <w:ind w:firstLine="284"/>
      </w:pPr>
      <w:r>
        <w:t>• changes</w:t>
      </w:r>
      <w:r>
        <w:rPr>
          <w:rStyle w:val="FootnoteReference"/>
        </w:rPr>
        <w:footnoteReference w:id="10"/>
      </w:r>
      <w:r>
        <w:t>;</w:t>
      </w:r>
    </w:p>
    <w:p w:rsidR="008F0647" w:rsidRDefault="00783E42" w:rsidP="00783E42">
      <w:pPr>
        <w:ind w:firstLine="284"/>
      </w:pPr>
      <w:r>
        <w:t>• closed</w:t>
      </w:r>
      <w:r>
        <w:rPr>
          <w:rStyle w:val="FootnoteReference"/>
        </w:rPr>
        <w:footnoteReference w:id="11"/>
      </w:r>
      <w:r>
        <w:t>.</w:t>
      </w:r>
    </w:p>
    <w:p w:rsidR="008F0647" w:rsidRDefault="008F0647" w:rsidP="00AF3F74"/>
    <w:p w:rsidR="008F0647" w:rsidRDefault="008F0647" w:rsidP="00ED3BDC"/>
    <w:p w:rsidR="008F0647" w:rsidRDefault="002B438D" w:rsidP="00ED3BDC">
      <w:pPr>
        <w:pStyle w:val="Heading1"/>
      </w:pPr>
      <w:r>
        <w:t>Bathing water quality</w:t>
      </w:r>
    </w:p>
    <w:p w:rsidR="008F0647" w:rsidRDefault="008F0647" w:rsidP="00ED3BDC"/>
    <w:p w:rsidR="008F0647" w:rsidRDefault="002B438D" w:rsidP="00ED3BDC">
      <w:r>
        <w:t>The results of the bathing water quality in Greece throughout the past period are presented in Figure 1 (for coastal bathing waters) and Figure 2 (for inland bathing waters). The previous reports are available on the European Commission's bathing water quality website</w:t>
      </w:r>
      <w:r>
        <w:rPr>
          <w:rStyle w:val="FootnoteReference"/>
        </w:rPr>
        <w:footnoteReference w:id="12"/>
      </w:r>
      <w:r>
        <w:t xml:space="preserve"> and the European Environment Agency's bathing water website</w:t>
      </w:r>
      <w:r>
        <w:rPr>
          <w:rStyle w:val="FootnoteReference"/>
        </w:rPr>
        <w:footnoteReference w:id="13"/>
      </w:r>
      <w:r>
        <w:t>.</w:t>
      </w:r>
    </w:p>
    <w:p w:rsidR="008F0647" w:rsidRDefault="008F0647" w:rsidP="00ED3BDC"/>
    <w:p w:rsidR="00EE7A5D" w:rsidRDefault="00EE7A5D" w:rsidP="00ED3BDC"/>
    <w:p w:rsidR="00EE7A5D" w:rsidRDefault="00EE7A5D" w:rsidP="00ED3BDC"/>
    <w:p w:rsidR="00EE7A5D" w:rsidRDefault="00EE7A5D" w:rsidP="00ED3BDC"/>
    <w:p w:rsidR="00EE7A5D" w:rsidRDefault="00EE7A5D" w:rsidP="00ED3BDC"/>
    <w:p w:rsidR="00EE7A5D" w:rsidRDefault="00EE7A5D" w:rsidP="00ED3BDC"/>
    <w:p w:rsidR="00EE7A5D" w:rsidRDefault="00EE7A5D" w:rsidP="00ED3BDC"/>
    <w:p w:rsidR="00EE7A5D" w:rsidRDefault="00EE7A5D" w:rsidP="00ED3BDC"/>
    <w:p w:rsidR="008F0647" w:rsidRDefault="002B438D" w:rsidP="00ED3BDC">
      <w:pPr>
        <w:pStyle w:val="Heading2"/>
      </w:pPr>
      <w:r>
        <w:lastRenderedPageBreak/>
        <w:t>Coastal bathing waters</w:t>
      </w:r>
    </w:p>
    <w:p w:rsidR="008F0647" w:rsidRDefault="008F0647" w:rsidP="00ED3BDC"/>
    <w:p w:rsidR="008F0647" w:rsidRDefault="002B438D" w:rsidP="00ED3BDC">
      <w:r>
        <w:t xml:space="preserve">In Greece, 96.7% of all existing coastal bathing waters met at least sufficient water quality standards in 2017. See Appendix 1 for numeric data. </w:t>
      </w:r>
    </w:p>
    <w:p w:rsidR="008F0647" w:rsidRDefault="008F0647" w:rsidP="00ED3BDC"/>
    <w:p w:rsidR="008F0647" w:rsidRDefault="004349A7" w:rsidP="00164618">
      <w:r>
        <w:rPr>
          <w:noProof/>
          <w:lang w:eastAsia="en-GB"/>
        </w:rPr>
        <w:drawing>
          <wp:inline distT="0" distB="0" distL="0" distR="0" wp14:anchorId="183DE77D" wp14:editId="19E6626E">
            <wp:extent cx="6124575" cy="2790825"/>
            <wp:effectExtent l="0" t="0" r="9525" b="9525"/>
            <wp:docPr id="2" name="Graphique 2" title="coastal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0647" w:rsidRDefault="002B438D" w:rsidP="001F33BA">
      <w:pPr>
        <w:pStyle w:val="Caption"/>
        <w:jc w:val="left"/>
      </w:pPr>
      <w:r>
        <w:t xml:space="preserve">Figure </w:t>
      </w:r>
      <w:r>
        <w:fldChar w:fldCharType="begin"/>
      </w:r>
      <w:r>
        <w:instrText xml:space="preserve"> SEQ Figure \* ARABIC </w:instrText>
      </w:r>
      <w:r>
        <w:fldChar w:fldCharType="separate"/>
      </w:r>
      <w:r>
        <w:t>1</w:t>
      </w:r>
      <w:r>
        <w:fldChar w:fldCharType="end"/>
      </w:r>
      <w:r>
        <w:t xml:space="preserve">: Coastal bathing water quality trend in Greece. </w:t>
      </w:r>
      <w:r>
        <w:rPr>
          <w:b w:val="0"/>
        </w:rPr>
        <w:t>Note: the “At least sufficient” class also includes bathing waters of “Excellent” quality class, the sum of shares is therefore not 100%.</w:t>
      </w:r>
      <w:r>
        <w:t xml:space="preserve"> </w:t>
      </w:r>
    </w:p>
    <w:p w:rsidR="008F0647" w:rsidRDefault="008F0647" w:rsidP="00ED3BDC"/>
    <w:p w:rsidR="008F0647" w:rsidRDefault="008F0647" w:rsidP="00ED3BDC"/>
    <w:p w:rsidR="008F0647" w:rsidRDefault="002B438D" w:rsidP="00ED3BDC">
      <w:pPr>
        <w:pStyle w:val="Heading2"/>
      </w:pPr>
      <w:r>
        <w:t>Inland bathing waters</w:t>
      </w:r>
    </w:p>
    <w:p w:rsidR="008F0647" w:rsidRDefault="008F0647" w:rsidP="00ED3BDC"/>
    <w:p w:rsidR="008F0647" w:rsidRDefault="007C239B" w:rsidP="002318DD">
      <w:r>
        <w:t>66.7% of all existing inland bathing waters were of at least sufficient water quality in 2017. See Appendix 1 for numeric data.</w:t>
      </w:r>
      <w:bookmarkStart w:id="1" w:name="OLE_LINK19"/>
      <w:bookmarkStart w:id="2" w:name="OLE_LINK20"/>
      <w:r>
        <w:t xml:space="preserve"> </w:t>
      </w:r>
    </w:p>
    <w:p w:rsidR="008F0647" w:rsidRDefault="008F0647" w:rsidP="002318DD"/>
    <w:p w:rsidR="008F0647" w:rsidRDefault="004349A7" w:rsidP="00164618">
      <w:pPr>
        <w:keepNext/>
        <w:jc w:val="center"/>
      </w:pPr>
      <w:r>
        <w:rPr>
          <w:noProof/>
          <w:lang w:eastAsia="en-GB"/>
        </w:rPr>
        <w:drawing>
          <wp:inline distT="0" distB="0" distL="0" distR="0" wp14:anchorId="1F78EA5C" wp14:editId="7CC38902">
            <wp:extent cx="6134100" cy="2800350"/>
            <wp:effectExtent l="0" t="0" r="19050" b="19050"/>
            <wp:docPr id="3" name="Graphique 2" title="fresh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bookmarkEnd w:id="1"/>
    <w:bookmarkEnd w:id="2"/>
    <w:p w:rsidR="008F0647" w:rsidRDefault="002B438D" w:rsidP="001F33BA">
      <w:pPr>
        <w:pStyle w:val="Caption"/>
        <w:jc w:val="left"/>
      </w:pPr>
      <w:r>
        <w:t xml:space="preserve">Figure </w:t>
      </w:r>
      <w:r>
        <w:fldChar w:fldCharType="begin"/>
      </w:r>
      <w:r>
        <w:instrText xml:space="preserve"> SEQ Figure \* ARABIC </w:instrText>
      </w:r>
      <w:r>
        <w:fldChar w:fldCharType="separate"/>
      </w:r>
      <w:r>
        <w:t>2</w:t>
      </w:r>
      <w:r>
        <w:fldChar w:fldCharType="end"/>
      </w:r>
      <w:r>
        <w:t xml:space="preserve">: Inland bathing water quality trend in Greece. </w:t>
      </w:r>
      <w:r>
        <w:rPr>
          <w:b w:val="0"/>
        </w:rPr>
        <w:t>Note: the “At least sufficient” class also includes bathing waters of “Excellent” quality class, the sum of shares is therefore not 100%.</w:t>
      </w:r>
      <w:r>
        <w:t xml:space="preserve"> </w:t>
      </w:r>
    </w:p>
    <w:p w:rsidR="008F0647" w:rsidRDefault="008F0647" w:rsidP="00ED3BDC">
      <w:pPr>
        <w:pStyle w:val="Caption"/>
      </w:pPr>
    </w:p>
    <w:p w:rsidR="008F0647" w:rsidRDefault="008F0647" w:rsidP="00ED3BDC"/>
    <w:p w:rsidR="008F0647" w:rsidRDefault="008F0647" w:rsidP="00ED3BDC"/>
    <w:p w:rsidR="008F0647" w:rsidRDefault="002B438D" w:rsidP="00ED3BDC">
      <w:pPr>
        <w:pStyle w:val="Heading1"/>
      </w:pPr>
      <w:bookmarkStart w:id="3" w:name="OLE_LINK4"/>
      <w:bookmarkStart w:id="4" w:name="OLE_LINK5"/>
      <w:bookmarkStart w:id="5" w:name="OLE_LINK9"/>
      <w:r>
        <w:t>Information regarding management and other issues</w:t>
      </w:r>
      <w:bookmarkEnd w:id="3"/>
      <w:bookmarkEnd w:id="4"/>
    </w:p>
    <w:bookmarkEnd w:id="5"/>
    <w:p w:rsidR="008F0647" w:rsidRDefault="008F0647" w:rsidP="00ED3BDC"/>
    <w:p w:rsidR="00EE7A5D" w:rsidRDefault="00EE7A5D" w:rsidP="00EE7A5D">
      <w:r>
        <w:t>The quality of bathing waters in Greece is systematically monitored since 1988 according to Directive 76/160/EEC "on the quality of bathing waters". Since 2010, the quality of bathing water is monitored in accordance with the new Directive 2006/7/EC "on the management of bathing water quality".</w:t>
      </w:r>
    </w:p>
    <w:p w:rsidR="00EE7A5D" w:rsidRDefault="00EE7A5D" w:rsidP="00EE7A5D"/>
    <w:p w:rsidR="00EE7A5D" w:rsidRDefault="00EE7A5D" w:rsidP="00EE7A5D">
      <w:r>
        <w:t>The quality parameters monitored have been selected in accordance with the provisions of Directive 2006/7/EC and are grouped into two categories:</w:t>
      </w:r>
    </w:p>
    <w:p w:rsidR="00EE7A5D" w:rsidRPr="00EE7A5D" w:rsidRDefault="00EE7A5D" w:rsidP="00EE7A5D">
      <w:pPr>
        <w:pStyle w:val="ListParagraph"/>
        <w:numPr>
          <w:ilvl w:val="0"/>
          <w:numId w:val="6"/>
        </w:numPr>
        <w:rPr>
          <w:rFonts w:asciiTheme="majorHAnsi" w:hAnsiTheme="majorHAnsi"/>
          <w:sz w:val="22"/>
          <w:lang w:val="it-IT"/>
        </w:rPr>
      </w:pPr>
      <w:proofErr w:type="spellStart"/>
      <w:proofErr w:type="gramStart"/>
      <w:r w:rsidRPr="00EE7A5D">
        <w:rPr>
          <w:rFonts w:asciiTheme="majorHAnsi" w:hAnsiTheme="majorHAnsi"/>
          <w:sz w:val="22"/>
          <w:lang w:val="it-IT"/>
        </w:rPr>
        <w:t>microbiological</w:t>
      </w:r>
      <w:proofErr w:type="spellEnd"/>
      <w:proofErr w:type="gramEnd"/>
      <w:r w:rsidRPr="00EE7A5D">
        <w:rPr>
          <w:rFonts w:asciiTheme="majorHAnsi" w:hAnsiTheme="majorHAnsi"/>
          <w:sz w:val="22"/>
          <w:lang w:val="it-IT"/>
        </w:rPr>
        <w:t xml:space="preserve"> (E. </w:t>
      </w:r>
      <w:proofErr w:type="gramStart"/>
      <w:r w:rsidRPr="00EE7A5D">
        <w:rPr>
          <w:rFonts w:asciiTheme="majorHAnsi" w:hAnsiTheme="majorHAnsi"/>
          <w:sz w:val="22"/>
          <w:lang w:val="it-IT"/>
        </w:rPr>
        <w:t>coli</w:t>
      </w:r>
      <w:proofErr w:type="gramEnd"/>
      <w:r w:rsidRPr="00EE7A5D">
        <w:rPr>
          <w:rFonts w:asciiTheme="majorHAnsi" w:hAnsiTheme="majorHAnsi"/>
          <w:sz w:val="22"/>
          <w:lang w:val="it-IT"/>
        </w:rPr>
        <w:t xml:space="preserve"> and  </w:t>
      </w:r>
      <w:proofErr w:type="spellStart"/>
      <w:r w:rsidRPr="00EE7A5D">
        <w:rPr>
          <w:rFonts w:asciiTheme="majorHAnsi" w:hAnsiTheme="majorHAnsi"/>
          <w:sz w:val="22"/>
          <w:lang w:val="it-IT"/>
        </w:rPr>
        <w:t>intestinal</w:t>
      </w:r>
      <w:proofErr w:type="spellEnd"/>
      <w:r w:rsidRPr="00EE7A5D">
        <w:rPr>
          <w:rFonts w:asciiTheme="majorHAnsi" w:hAnsiTheme="majorHAnsi"/>
          <w:sz w:val="22"/>
          <w:lang w:val="it-IT"/>
        </w:rPr>
        <w:t xml:space="preserve"> enterococchi),</w:t>
      </w:r>
    </w:p>
    <w:p w:rsidR="00EE7A5D" w:rsidRPr="00EE7A5D" w:rsidRDefault="00EE7A5D" w:rsidP="00EE7A5D">
      <w:pPr>
        <w:pStyle w:val="ListParagraph"/>
        <w:numPr>
          <w:ilvl w:val="0"/>
          <w:numId w:val="6"/>
        </w:numPr>
        <w:rPr>
          <w:rFonts w:asciiTheme="majorHAnsi" w:hAnsiTheme="majorHAnsi"/>
          <w:sz w:val="22"/>
        </w:rPr>
      </w:pPr>
      <w:proofErr w:type="gramStart"/>
      <w:r w:rsidRPr="00EE7A5D">
        <w:rPr>
          <w:rFonts w:asciiTheme="majorHAnsi" w:hAnsiTheme="majorHAnsi"/>
          <w:sz w:val="22"/>
        </w:rPr>
        <w:t>visually</w:t>
      </w:r>
      <w:proofErr w:type="gramEnd"/>
      <w:r w:rsidRPr="00EE7A5D">
        <w:rPr>
          <w:rFonts w:asciiTheme="majorHAnsi" w:hAnsiTheme="majorHAnsi"/>
          <w:sz w:val="22"/>
        </w:rPr>
        <w:t xml:space="preserve"> monitored (tarry residues, glass, plastics, rubber or any other waste).</w:t>
      </w:r>
    </w:p>
    <w:p w:rsidR="00EE7A5D" w:rsidRDefault="00EE7A5D" w:rsidP="00EE7A5D"/>
    <w:p w:rsidR="00EE7A5D" w:rsidRDefault="00EE7A5D" w:rsidP="00EE7A5D">
      <w:r>
        <w:t xml:space="preserve">In the 2017 bathing season, there was abnormal situation from 10 September until 31 October at 11 bathing sites because of pollution due to oil spill from the sinking of a tanker at the region of Inner </w:t>
      </w:r>
      <w:proofErr w:type="spellStart"/>
      <w:r>
        <w:t>Saronikos</w:t>
      </w:r>
      <w:proofErr w:type="spellEnd"/>
      <w:r>
        <w:t xml:space="preserve"> Gulf on 10 September. There was a temporary closure and prohibition against bathing to prevent bathers' exposure to pollution; information was given to public on media and on the site; additional measures were cleaning, observing and additional monitoring of the pollution.</w:t>
      </w:r>
    </w:p>
    <w:p w:rsidR="00EE7A5D" w:rsidRDefault="00EE7A5D" w:rsidP="00EE7A5D"/>
    <w:p w:rsidR="00EE7A5D" w:rsidRPr="00EE7A5D" w:rsidRDefault="00EE7A5D" w:rsidP="00EE7A5D">
      <w:pPr>
        <w:rPr>
          <w:b/>
        </w:rPr>
      </w:pPr>
      <w:r w:rsidRPr="00EE7A5D">
        <w:rPr>
          <w:b/>
        </w:rPr>
        <w:t>Treatment of waste water</w:t>
      </w:r>
    </w:p>
    <w:p w:rsidR="00EE7A5D" w:rsidRDefault="00EE7A5D" w:rsidP="00EE7A5D"/>
    <w:p w:rsidR="00EE7A5D" w:rsidRDefault="00EE7A5D" w:rsidP="00EE7A5D">
      <w:r>
        <w:t>With respect to the implementation of the 91/271/EEC Directive (Urban Waste Water Treatment Directive), a large number of wastewater treatment plants have been constructed or are under construction. The agglomerations with equivalent populations above 10000 discharging in sensitive areas and 15000 located in coastal areas are almost fully served by waste water treatment plants (</w:t>
      </w:r>
      <w:proofErr w:type="spellStart"/>
      <w:r>
        <w:t>WWTPs</w:t>
      </w:r>
      <w:proofErr w:type="spellEnd"/>
      <w:r>
        <w:t>), most of them involving advanced treatment, thus contributing to the improvement of bathing water quality of these areas.</w:t>
      </w:r>
    </w:p>
    <w:p w:rsidR="00EE7A5D" w:rsidRDefault="00EE7A5D" w:rsidP="00EE7A5D"/>
    <w:p w:rsidR="00EE7A5D" w:rsidRDefault="00EE7A5D" w:rsidP="00EE7A5D">
      <w:r>
        <w:t xml:space="preserve">In order to follow the progress on the implementation of the Urban Waste Water Treatment Directive, a national database providing information on the Wastewater Treatment Plants is in operation since 2012 and available to the public though the link http://astikalimata.ypeka.gr/. The database includes general information on population served and treatment </w:t>
      </w:r>
      <w:proofErr w:type="gramStart"/>
      <w:r>
        <w:t>provided,</w:t>
      </w:r>
      <w:proofErr w:type="gramEnd"/>
      <w:r>
        <w:t xml:space="preserve"> environmental permits and operational data of the </w:t>
      </w:r>
      <w:proofErr w:type="spellStart"/>
      <w:r>
        <w:t>WWTPs</w:t>
      </w:r>
      <w:proofErr w:type="spellEnd"/>
      <w:r>
        <w:t>.</w:t>
      </w:r>
    </w:p>
    <w:p w:rsidR="00EE7A5D" w:rsidRDefault="00EE7A5D" w:rsidP="00EE7A5D"/>
    <w:p w:rsidR="00EE7A5D" w:rsidRPr="00EE7A5D" w:rsidRDefault="00EE7A5D" w:rsidP="00EE7A5D">
      <w:pPr>
        <w:rPr>
          <w:b/>
        </w:rPr>
      </w:pPr>
      <w:r w:rsidRPr="00EE7A5D">
        <w:rPr>
          <w:b/>
        </w:rPr>
        <w:t>Treatment of diffuse sources of pollution</w:t>
      </w:r>
    </w:p>
    <w:p w:rsidR="00EE7A5D" w:rsidRDefault="00EE7A5D" w:rsidP="00EE7A5D"/>
    <w:p w:rsidR="00EE7A5D" w:rsidRDefault="00EE7A5D" w:rsidP="00EE7A5D">
      <w:r>
        <w:t xml:space="preserve">Agriculture is, on the EU level, the largest single source of nitrate pollution through run-off, although households and industries also contribute to some extent. The nitrate pollution problem is addressed within the European Union mainly by the Nitrates Directive (91/676/EEC), regarding nitrate pollution caused by agricultural practices, supplemented by the provisions of the Urban Wastewater Directive (91/271/EC), related to sensitive recipients and the Groundwater Directive (2006/118/EC). In surface waters, particularly lakes and closed gulfs, excessive accumulation of nitrogen as well as phosphorus may lead to eutrophication, with adverse impact, due to proliferation of algae and their </w:t>
      </w:r>
      <w:proofErr w:type="spellStart"/>
      <w:r>
        <w:t>byproducts</w:t>
      </w:r>
      <w:proofErr w:type="spellEnd"/>
      <w:r>
        <w:t>, on fish, oxygen levels and amenity value.</w:t>
      </w:r>
    </w:p>
    <w:p w:rsidR="00EE7A5D" w:rsidRDefault="00EE7A5D" w:rsidP="00EE7A5D"/>
    <w:p w:rsidR="00EE7A5D" w:rsidRDefault="00EE7A5D" w:rsidP="00EE7A5D">
      <w:r>
        <w:t>An important provision of the Nitrates Directive is the obligation of Member States to designate the so-called Nitrate Vulnerable Zones (</w:t>
      </w:r>
      <w:proofErr w:type="spellStart"/>
      <w:r>
        <w:t>NVZs</w:t>
      </w:r>
      <w:proofErr w:type="spellEnd"/>
      <w:r>
        <w:t xml:space="preserve">). According to this requirement, several vulnerable zones, with respect to nitrogen pollution from agricultural run-offs have been identified in Greece </w:t>
      </w:r>
      <w:r>
        <w:lastRenderedPageBreak/>
        <w:t xml:space="preserve">(http://www.ypeka.gr/Default.aspx?tabid=250&amp;locale=el-GR&amp;language=en-US) and relevant suitable action programmes have been employed, according to art. </w:t>
      </w:r>
      <w:proofErr w:type="gramStart"/>
      <w:r>
        <w:t>5 of the Directive.</w:t>
      </w:r>
      <w:proofErr w:type="gramEnd"/>
      <w:r>
        <w:t xml:space="preserve"> The adoption of Good Agricultural Practice Codes, obligatory for all farmers operating in a vulnerable zone, is a key element of these programs.</w:t>
      </w:r>
    </w:p>
    <w:p w:rsidR="00EE7A5D" w:rsidRDefault="00EE7A5D" w:rsidP="00EE7A5D"/>
    <w:p w:rsidR="00EE7A5D" w:rsidRPr="00EE7A5D" w:rsidRDefault="00EE7A5D" w:rsidP="00EE7A5D">
      <w:pPr>
        <w:rPr>
          <w:b/>
        </w:rPr>
      </w:pPr>
      <w:r w:rsidRPr="00EE7A5D">
        <w:rPr>
          <w:b/>
        </w:rPr>
        <w:t>River Basin Management Plans</w:t>
      </w:r>
    </w:p>
    <w:p w:rsidR="00EE7A5D" w:rsidRDefault="00EE7A5D" w:rsidP="00EE7A5D"/>
    <w:p w:rsidR="00EE7A5D" w:rsidRDefault="00EE7A5D" w:rsidP="00EE7A5D">
      <w:r>
        <w:t xml:space="preserve">The implementation of the </w:t>
      </w:r>
      <w:proofErr w:type="spellStart"/>
      <w:r>
        <w:t>WFD</w:t>
      </w:r>
      <w:proofErr w:type="spellEnd"/>
      <w:r>
        <w:t xml:space="preserve"> (Directive 2000/60/EC) offers the overall framework for the protection of all water bodies against sources of pollution. According to the provisions of article 6 and Annex IV of the </w:t>
      </w:r>
      <w:proofErr w:type="spellStart"/>
      <w:r>
        <w:t>WFD</w:t>
      </w:r>
      <w:proofErr w:type="spellEnd"/>
      <w:r>
        <w:t>, all bodies of water designated as recreational waters including areas designated as bathing waters under the Directive 2006/7/EC are included in the protected areas register and as such all 1540 bathing waters identified under the Bathing Water Directive are part of the protected areas register. Specific information on bathing water protected areas and their relation to identified surface water bodies is included in the River Basin Management Plans and the relevant programme of measures.</w:t>
      </w:r>
    </w:p>
    <w:p w:rsidR="00EE7A5D" w:rsidRDefault="00EE7A5D" w:rsidP="00EE7A5D"/>
    <w:p w:rsidR="00EE7A5D" w:rsidRPr="00EE7A5D" w:rsidRDefault="00EE7A5D" w:rsidP="00EE7A5D">
      <w:pPr>
        <w:rPr>
          <w:b/>
        </w:rPr>
      </w:pPr>
      <w:r w:rsidRPr="00EE7A5D">
        <w:rPr>
          <w:b/>
        </w:rPr>
        <w:t>Online presentation of data</w:t>
      </w:r>
    </w:p>
    <w:p w:rsidR="00EE7A5D" w:rsidRDefault="00EE7A5D" w:rsidP="00EE7A5D"/>
    <w:p w:rsidR="008F0647" w:rsidRDefault="00EE7A5D" w:rsidP="00EE7A5D">
      <w:r>
        <w:t>In Greece, information on bathing water quality is available on the internet through Bathing Water Profiles website (</w:t>
      </w:r>
      <w:hyperlink r:id="rId12" w:history="1">
        <w:r w:rsidRPr="003F4ABB">
          <w:rPr>
            <w:rStyle w:val="Hyperlink"/>
          </w:rPr>
          <w:t>http://www.bathingwaterprofiles.gr</w:t>
        </w:r>
      </w:hyperlink>
      <w:r>
        <w:t xml:space="preserve">). Bathing water data information contains yearly bathing waters quality assessment and the updated bathing profile in web page form and </w:t>
      </w:r>
      <w:proofErr w:type="spellStart"/>
      <w:r>
        <w:t>pdf</w:t>
      </w:r>
      <w:proofErr w:type="spellEnd"/>
      <w:r>
        <w:t xml:space="preserve"> file form available for downloading. Additional information on results of the monitoring program </w:t>
      </w:r>
      <w:proofErr w:type="gramStart"/>
      <w:r>
        <w:t>are</w:t>
      </w:r>
      <w:proofErr w:type="gramEnd"/>
      <w:r>
        <w:t xml:space="preserve"> available after the evaluation of the results, dating back to year 2007 for all bathing seasons. Current bathing water monitoring results are also available to the public through </w:t>
      </w:r>
      <w:proofErr w:type="spellStart"/>
      <w:r>
        <w:t>GeoRSS</w:t>
      </w:r>
      <w:proofErr w:type="spellEnd"/>
      <w:r>
        <w:t xml:space="preserve"> web service.</w:t>
      </w:r>
    </w:p>
    <w:p w:rsidR="00EE7A5D" w:rsidRDefault="00EE7A5D" w:rsidP="00EE7A5D"/>
    <w:p w:rsidR="008F0647" w:rsidRDefault="008F0647" w:rsidP="00ED3BDC"/>
    <w:p w:rsidR="008F0647" w:rsidRDefault="0024729D" w:rsidP="00ED3BDC">
      <w:pPr>
        <w:pStyle w:val="Heading1"/>
      </w:pPr>
      <w:r>
        <w:t>Bathing water quality assessment presentation in online viewers</w:t>
      </w:r>
    </w:p>
    <w:p w:rsidR="008F0647" w:rsidRDefault="008F0647" w:rsidP="00ED3BDC"/>
    <w:p w:rsidR="008F0647" w:rsidRDefault="00EC573D" w:rsidP="00EC573D">
      <w:r>
        <w:t xml:space="preserve">The European bathing water legislation focuses on sound management of bathing waters, greater public participation and improved information dissemination. More on the bathing and other water legislation can be found on the European Commission's website: </w:t>
      </w:r>
      <w:hyperlink r:id="rId13" w:history="1">
        <w:r>
          <w:rPr>
            <w:rStyle w:val="Hyperlink"/>
          </w:rPr>
          <w:t>http://ec.europa.eu/environment/water/index_en.htm</w:t>
        </w:r>
      </w:hyperlink>
      <w:r>
        <w:t>.</w:t>
      </w:r>
    </w:p>
    <w:p w:rsidR="008F0647" w:rsidRDefault="008F0647" w:rsidP="00EC573D"/>
    <w:p w:rsidR="008F0647" w:rsidRDefault="003E2BA0" w:rsidP="003E2BA0">
      <w:r>
        <w:t>The bathing water section of the Water Information System for Europe (WISE) which is accessible at the EEA bathing water website (</w:t>
      </w:r>
      <w:hyperlink r:id="rId14" w:history="1">
        <w:r>
          <w:rPr>
            <w:rStyle w:val="Hyperlink"/>
          </w:rPr>
          <w:t>http://www.eea.europa.eu/themes/water/interactive/bathing/state-of-bathing-waters</w:t>
        </w:r>
      </w:hyperlink>
      <w:r>
        <w:t>) allows users to view the bathing water quality at more than 21 000 coastal and inland sites across Europe. The WISE bathing water quality data viewer combines text and graphical visualisation, providing a quick overview of the bathing water's locations and achieved quality. Having access to bathing water information, citizens are encouraged to make full use of it and participate with their comments.</w:t>
      </w:r>
    </w:p>
    <w:p w:rsidR="008F0647" w:rsidRDefault="002B438D" w:rsidP="003E2BA0">
      <w:r>
        <w:br w:type="page"/>
      </w:r>
    </w:p>
    <w:p w:rsidR="008F0647" w:rsidRDefault="002B438D" w:rsidP="00ED3BDC">
      <w:pPr>
        <w:rPr>
          <w:b/>
          <w:sz w:val="28"/>
        </w:rPr>
      </w:pPr>
      <w:r>
        <w:rPr>
          <w:b/>
          <w:sz w:val="28"/>
        </w:rPr>
        <w:lastRenderedPageBreak/>
        <w:t>Appendix 1: Results of bathing water quality in Greece from 2014 to 2017</w:t>
      </w:r>
    </w:p>
    <w:p w:rsidR="008F0647" w:rsidRDefault="008F0647" w:rsidP="00ED3BDC"/>
    <w:p w:rsidR="008F0647" w:rsidRDefault="00510149" w:rsidP="001F33BA">
      <w:pPr>
        <w:pStyle w:val="Caption"/>
        <w:keepNext/>
        <w:spacing w:after="120"/>
      </w:pPr>
      <w:r>
        <w:t xml:space="preserve">Table </w:t>
      </w:r>
      <w:r>
        <w:fldChar w:fldCharType="begin"/>
      </w:r>
      <w:r>
        <w:instrText xml:space="preserve"> SEQ Table \* ARABIC </w:instrText>
      </w:r>
      <w:r>
        <w:fldChar w:fldCharType="separate"/>
      </w:r>
      <w:r>
        <w:t>2</w:t>
      </w:r>
      <w:r>
        <w:fldChar w:fldCharType="end"/>
      </w:r>
      <w:r>
        <w:t>: Bathing waters in the season 2017 according to quality</w:t>
      </w: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6"/>
        <w:gridCol w:w="850"/>
        <w:gridCol w:w="992"/>
        <w:gridCol w:w="939"/>
        <w:gridCol w:w="904"/>
        <w:gridCol w:w="992"/>
        <w:gridCol w:w="993"/>
        <w:gridCol w:w="992"/>
        <w:gridCol w:w="850"/>
        <w:gridCol w:w="903"/>
        <w:gridCol w:w="940"/>
      </w:tblGrid>
      <w:tr w:rsidR="008F0647" w:rsidTr="005F5E3F">
        <w:tc>
          <w:tcPr>
            <w:tcW w:w="1276" w:type="dxa"/>
            <w:gridSpan w:val="2"/>
            <w:vMerge w:val="restart"/>
            <w:shd w:val="clear" w:color="auto" w:fill="F2F2F2" w:themeFill="background1" w:themeFillShade="F2"/>
          </w:tcPr>
          <w:p w:rsidR="008F0647" w:rsidRDefault="008F0647" w:rsidP="00ED3BDC">
            <w:pPr>
              <w:rPr>
                <w:rFonts w:asciiTheme="minorHAnsi" w:hAnsiTheme="minorHAnsi"/>
                <w:b/>
                <w:sz w:val="20"/>
                <w:szCs w:val="20"/>
              </w:rPr>
            </w:pPr>
          </w:p>
        </w:tc>
        <w:tc>
          <w:tcPr>
            <w:tcW w:w="992" w:type="dxa"/>
            <w:vMerge w:val="restart"/>
            <w:shd w:val="clear" w:color="auto" w:fill="F2F2F2" w:themeFill="background1" w:themeFillShade="F2"/>
            <w:vAlign w:val="center"/>
          </w:tcPr>
          <w:p w:rsidR="008F0647" w:rsidRDefault="005F5E3F" w:rsidP="00B853E1">
            <w:pPr>
              <w:jc w:val="center"/>
              <w:rPr>
                <w:rFonts w:asciiTheme="minorHAnsi" w:hAnsiTheme="minorHAnsi"/>
                <w:b/>
                <w:sz w:val="20"/>
                <w:szCs w:val="20"/>
              </w:rPr>
            </w:pPr>
            <w:r>
              <w:rPr>
                <w:rFonts w:asciiTheme="minorHAnsi" w:hAnsiTheme="minorHAnsi"/>
                <w:b/>
                <w:sz w:val="20"/>
                <w:szCs w:val="20"/>
              </w:rPr>
              <w:t>Total</w:t>
            </w:r>
          </w:p>
          <w:p w:rsidR="008F0647" w:rsidRDefault="005F5E3F" w:rsidP="00B853E1">
            <w:pPr>
              <w:jc w:val="center"/>
              <w:rPr>
                <w:rFonts w:asciiTheme="minorHAnsi" w:hAnsiTheme="minorHAnsi"/>
                <w:b/>
                <w:sz w:val="20"/>
                <w:szCs w:val="20"/>
              </w:rPr>
            </w:pPr>
            <w:r>
              <w:rPr>
                <w:rFonts w:asciiTheme="minorHAnsi" w:hAnsiTheme="minorHAnsi"/>
                <w:b/>
                <w:sz w:val="20"/>
                <w:szCs w:val="20"/>
              </w:rPr>
              <w:t>number</w:t>
            </w:r>
          </w:p>
          <w:p w:rsidR="008F0647" w:rsidRDefault="005F5E3F" w:rsidP="00B853E1">
            <w:pPr>
              <w:jc w:val="center"/>
              <w:rPr>
                <w:rFonts w:asciiTheme="minorHAnsi" w:hAnsiTheme="minorHAnsi"/>
                <w:b/>
                <w:sz w:val="20"/>
                <w:szCs w:val="20"/>
              </w:rPr>
            </w:pPr>
            <w:r>
              <w:rPr>
                <w:rFonts w:asciiTheme="minorHAnsi" w:hAnsiTheme="minorHAnsi"/>
                <w:b/>
                <w:sz w:val="20"/>
                <w:szCs w:val="20"/>
              </w:rPr>
              <w:t>of</w:t>
            </w:r>
          </w:p>
          <w:p w:rsidR="008F0647" w:rsidRDefault="005F5E3F" w:rsidP="00B853E1">
            <w:pPr>
              <w:jc w:val="center"/>
              <w:rPr>
                <w:rFonts w:asciiTheme="minorHAnsi" w:hAnsiTheme="minorHAnsi"/>
                <w:b/>
                <w:sz w:val="20"/>
                <w:szCs w:val="20"/>
              </w:rPr>
            </w:pPr>
            <w:r>
              <w:rPr>
                <w:rFonts w:asciiTheme="minorHAnsi" w:hAnsiTheme="minorHAnsi"/>
                <w:b/>
                <w:sz w:val="20"/>
                <w:szCs w:val="20"/>
              </w:rPr>
              <w:t>bathing</w:t>
            </w:r>
          </w:p>
          <w:p w:rsidR="008F0647" w:rsidRDefault="005F5E3F" w:rsidP="00B853E1">
            <w:pPr>
              <w:jc w:val="center"/>
              <w:rPr>
                <w:rFonts w:asciiTheme="minorHAnsi" w:hAnsiTheme="minorHAnsi"/>
                <w:b/>
                <w:sz w:val="20"/>
                <w:szCs w:val="20"/>
              </w:rPr>
            </w:pPr>
            <w:r>
              <w:rPr>
                <w:rFonts w:asciiTheme="minorHAnsi" w:hAnsiTheme="minorHAnsi"/>
                <w:b/>
                <w:sz w:val="20"/>
                <w:szCs w:val="20"/>
              </w:rPr>
              <w:t>waters</w:t>
            </w:r>
          </w:p>
        </w:tc>
        <w:tc>
          <w:tcPr>
            <w:tcW w:w="1843" w:type="dxa"/>
            <w:gridSpan w:val="2"/>
            <w:shd w:val="clear" w:color="auto" w:fill="F2F2F2" w:themeFill="background1" w:themeFillShade="F2"/>
            <w:vAlign w:val="center"/>
          </w:tcPr>
          <w:p w:rsidR="008F0647" w:rsidRDefault="005F5E3F" w:rsidP="00D24583">
            <w:pPr>
              <w:jc w:val="center"/>
              <w:rPr>
                <w:rFonts w:asciiTheme="minorHAnsi" w:hAnsiTheme="minorHAnsi"/>
                <w:b/>
                <w:sz w:val="20"/>
                <w:szCs w:val="20"/>
              </w:rPr>
            </w:pPr>
            <w:r>
              <w:rPr>
                <w:rFonts w:asciiTheme="minorHAnsi" w:hAnsiTheme="minorHAnsi"/>
                <w:b/>
                <w:sz w:val="20"/>
                <w:szCs w:val="20"/>
              </w:rPr>
              <w:t>Excellent quality</w:t>
            </w:r>
          </w:p>
        </w:tc>
        <w:tc>
          <w:tcPr>
            <w:tcW w:w="1985" w:type="dxa"/>
            <w:gridSpan w:val="2"/>
            <w:shd w:val="clear" w:color="auto" w:fill="F2F2F2" w:themeFill="background1" w:themeFillShade="F2"/>
            <w:vAlign w:val="center"/>
          </w:tcPr>
          <w:p w:rsidR="008F0647" w:rsidRDefault="005F5E3F" w:rsidP="00B853E1">
            <w:pPr>
              <w:jc w:val="center"/>
              <w:rPr>
                <w:rFonts w:asciiTheme="minorHAnsi" w:hAnsiTheme="minorHAnsi"/>
                <w:b/>
                <w:sz w:val="20"/>
                <w:szCs w:val="20"/>
              </w:rPr>
            </w:pPr>
            <w:r>
              <w:rPr>
                <w:rFonts w:asciiTheme="minorHAnsi" w:hAnsiTheme="minorHAnsi"/>
                <w:b/>
                <w:sz w:val="20"/>
                <w:szCs w:val="20"/>
              </w:rPr>
              <w:t>At least</w:t>
            </w:r>
          </w:p>
          <w:p w:rsidR="008F0647" w:rsidRDefault="005F5E3F" w:rsidP="00B853E1">
            <w:pPr>
              <w:jc w:val="center"/>
              <w:rPr>
                <w:rFonts w:asciiTheme="minorHAnsi" w:hAnsiTheme="minorHAnsi"/>
                <w:b/>
                <w:sz w:val="20"/>
                <w:szCs w:val="20"/>
              </w:rPr>
            </w:pPr>
            <w:r>
              <w:rPr>
                <w:rFonts w:asciiTheme="minorHAnsi" w:hAnsiTheme="minorHAnsi"/>
                <w:b/>
                <w:sz w:val="20"/>
                <w:szCs w:val="20"/>
              </w:rPr>
              <w:t>sufficient</w:t>
            </w:r>
          </w:p>
          <w:p w:rsidR="008F0647" w:rsidRDefault="00D24583" w:rsidP="00D24583">
            <w:pPr>
              <w:jc w:val="center"/>
              <w:rPr>
                <w:rFonts w:asciiTheme="minorHAnsi" w:hAnsiTheme="minorHAnsi"/>
                <w:b/>
                <w:sz w:val="20"/>
                <w:szCs w:val="20"/>
              </w:rPr>
            </w:pPr>
            <w:r>
              <w:rPr>
                <w:rFonts w:asciiTheme="minorHAnsi" w:hAnsiTheme="minorHAnsi"/>
                <w:b/>
                <w:sz w:val="20"/>
                <w:szCs w:val="20"/>
              </w:rPr>
              <w:t>quality</w:t>
            </w:r>
          </w:p>
        </w:tc>
        <w:tc>
          <w:tcPr>
            <w:tcW w:w="1842" w:type="dxa"/>
            <w:gridSpan w:val="2"/>
            <w:shd w:val="clear" w:color="auto" w:fill="F2F2F2" w:themeFill="background1" w:themeFillShade="F2"/>
            <w:vAlign w:val="center"/>
          </w:tcPr>
          <w:p w:rsidR="008F0647" w:rsidRDefault="00D24583" w:rsidP="00D24583">
            <w:pPr>
              <w:pStyle w:val="Pa24"/>
              <w:spacing w:before="40" w:after="40"/>
              <w:jc w:val="center"/>
              <w:rPr>
                <w:rFonts w:asciiTheme="minorHAnsi" w:hAnsiTheme="minorHAnsi" w:cs="Open Sans"/>
                <w:b/>
                <w:bCs/>
                <w:color w:val="000000"/>
                <w:sz w:val="20"/>
                <w:szCs w:val="16"/>
              </w:rPr>
            </w:pPr>
            <w:r>
              <w:rPr>
                <w:rFonts w:asciiTheme="minorHAnsi" w:hAnsiTheme="minorHAnsi" w:cs="Open Sans"/>
                <w:b/>
                <w:bCs/>
                <w:color w:val="000000"/>
                <w:sz w:val="20"/>
                <w:szCs w:val="16"/>
              </w:rPr>
              <w:t>Poor quality</w:t>
            </w:r>
          </w:p>
        </w:tc>
        <w:tc>
          <w:tcPr>
            <w:tcW w:w="1843" w:type="dxa"/>
            <w:gridSpan w:val="2"/>
            <w:shd w:val="clear" w:color="auto" w:fill="F2F2F2" w:themeFill="background1" w:themeFillShade="F2"/>
            <w:vAlign w:val="center"/>
          </w:tcPr>
          <w:p w:rsidR="008F0647" w:rsidRDefault="005F5E3F" w:rsidP="00B853E1">
            <w:pPr>
              <w:jc w:val="center"/>
              <w:rPr>
                <w:rFonts w:asciiTheme="minorHAnsi" w:hAnsiTheme="minorHAnsi"/>
                <w:b/>
                <w:sz w:val="20"/>
                <w:szCs w:val="20"/>
              </w:rPr>
            </w:pPr>
            <w:r>
              <w:rPr>
                <w:rFonts w:asciiTheme="minorHAnsi" w:hAnsiTheme="minorHAnsi"/>
                <w:b/>
                <w:sz w:val="20"/>
                <w:szCs w:val="20"/>
              </w:rPr>
              <w:t>Quality</w:t>
            </w:r>
          </w:p>
          <w:p w:rsidR="008F0647" w:rsidRDefault="005F5E3F" w:rsidP="00B853E1">
            <w:pPr>
              <w:jc w:val="center"/>
              <w:rPr>
                <w:rFonts w:asciiTheme="minorHAnsi" w:hAnsiTheme="minorHAnsi"/>
                <w:b/>
                <w:sz w:val="20"/>
                <w:szCs w:val="20"/>
              </w:rPr>
            </w:pPr>
            <w:r>
              <w:rPr>
                <w:rFonts w:asciiTheme="minorHAnsi" w:hAnsiTheme="minorHAnsi"/>
                <w:b/>
                <w:sz w:val="20"/>
                <w:szCs w:val="20"/>
              </w:rPr>
              <w:t>classification</w:t>
            </w:r>
          </w:p>
          <w:p w:rsidR="008F0647" w:rsidRDefault="005F5E3F" w:rsidP="00B853E1">
            <w:pPr>
              <w:jc w:val="center"/>
              <w:rPr>
                <w:rFonts w:asciiTheme="minorHAnsi" w:hAnsiTheme="minorHAnsi"/>
                <w:b/>
                <w:sz w:val="20"/>
                <w:szCs w:val="20"/>
              </w:rPr>
            </w:pPr>
            <w:r>
              <w:rPr>
                <w:rFonts w:asciiTheme="minorHAnsi" w:hAnsiTheme="minorHAnsi"/>
                <w:b/>
                <w:sz w:val="20"/>
                <w:szCs w:val="20"/>
              </w:rPr>
              <w:t>not possible: not</w:t>
            </w:r>
          </w:p>
          <w:p w:rsidR="008F0647" w:rsidRDefault="005F5E3F" w:rsidP="00B853E1">
            <w:pPr>
              <w:jc w:val="center"/>
              <w:rPr>
                <w:rFonts w:asciiTheme="minorHAnsi" w:hAnsiTheme="minorHAnsi"/>
                <w:b/>
                <w:sz w:val="20"/>
                <w:szCs w:val="20"/>
              </w:rPr>
            </w:pPr>
            <w:r>
              <w:rPr>
                <w:rFonts w:asciiTheme="minorHAnsi" w:hAnsiTheme="minorHAnsi"/>
                <w:b/>
                <w:sz w:val="20"/>
                <w:szCs w:val="20"/>
              </w:rPr>
              <w:t>enough samples</w:t>
            </w:r>
          </w:p>
          <w:p w:rsidR="008F0647" w:rsidRDefault="005F5E3F" w:rsidP="00B853E1">
            <w:pPr>
              <w:jc w:val="center"/>
              <w:rPr>
                <w:rFonts w:asciiTheme="minorHAnsi" w:hAnsiTheme="minorHAnsi"/>
                <w:b/>
                <w:sz w:val="20"/>
                <w:szCs w:val="20"/>
              </w:rPr>
            </w:pPr>
            <w:r>
              <w:rPr>
                <w:rFonts w:asciiTheme="minorHAnsi" w:hAnsiTheme="minorHAnsi"/>
                <w:b/>
                <w:sz w:val="20"/>
                <w:szCs w:val="20"/>
              </w:rPr>
              <w:t>/new bathing</w:t>
            </w:r>
          </w:p>
          <w:p w:rsidR="008F0647" w:rsidRDefault="005F5E3F" w:rsidP="00B853E1">
            <w:pPr>
              <w:jc w:val="center"/>
              <w:rPr>
                <w:rFonts w:asciiTheme="minorHAnsi" w:hAnsiTheme="minorHAnsi"/>
                <w:b/>
                <w:sz w:val="20"/>
                <w:szCs w:val="20"/>
              </w:rPr>
            </w:pPr>
            <w:r>
              <w:rPr>
                <w:rFonts w:asciiTheme="minorHAnsi" w:hAnsiTheme="minorHAnsi"/>
                <w:b/>
                <w:sz w:val="20"/>
                <w:szCs w:val="20"/>
              </w:rPr>
              <w:t>waters/bathing</w:t>
            </w:r>
          </w:p>
          <w:p w:rsidR="008F0647" w:rsidRDefault="00D0519C" w:rsidP="00D0519C">
            <w:pPr>
              <w:jc w:val="center"/>
              <w:rPr>
                <w:rFonts w:asciiTheme="minorHAnsi" w:hAnsiTheme="minorHAnsi"/>
                <w:b/>
                <w:sz w:val="20"/>
                <w:szCs w:val="20"/>
              </w:rPr>
            </w:pPr>
            <w:r>
              <w:rPr>
                <w:rFonts w:asciiTheme="minorHAnsi" w:hAnsiTheme="minorHAnsi"/>
                <w:b/>
                <w:sz w:val="20"/>
                <w:szCs w:val="20"/>
              </w:rPr>
              <w:t>waters subject to changes/closed</w:t>
            </w:r>
          </w:p>
        </w:tc>
      </w:tr>
      <w:tr w:rsidR="008F0647" w:rsidTr="005F5E3F">
        <w:tc>
          <w:tcPr>
            <w:tcW w:w="1276" w:type="dxa"/>
            <w:gridSpan w:val="2"/>
            <w:vMerge/>
            <w:tcBorders>
              <w:bottom w:val="single" w:sz="4" w:space="0" w:color="808080" w:themeColor="background1" w:themeShade="80"/>
            </w:tcBorders>
            <w:shd w:val="clear" w:color="auto" w:fill="F2F2F2" w:themeFill="background1" w:themeFillShade="F2"/>
          </w:tcPr>
          <w:p w:rsidR="008F0647" w:rsidRDefault="008F0647" w:rsidP="00ED3BDC">
            <w:pPr>
              <w:rPr>
                <w:rFonts w:asciiTheme="minorHAnsi" w:hAnsiTheme="minorHAnsi"/>
                <w:b/>
                <w:sz w:val="20"/>
                <w:szCs w:val="20"/>
              </w:rPr>
            </w:pPr>
          </w:p>
        </w:tc>
        <w:tc>
          <w:tcPr>
            <w:tcW w:w="992" w:type="dxa"/>
            <w:vMerge/>
            <w:tcBorders>
              <w:bottom w:val="single" w:sz="4" w:space="0" w:color="808080" w:themeColor="background1" w:themeShade="80"/>
            </w:tcBorders>
            <w:shd w:val="clear" w:color="auto" w:fill="F2F2F2" w:themeFill="background1" w:themeFillShade="F2"/>
          </w:tcPr>
          <w:p w:rsidR="008F0647" w:rsidRDefault="008F0647" w:rsidP="00ED3BDC">
            <w:pPr>
              <w:rPr>
                <w:rFonts w:asciiTheme="minorHAnsi" w:hAnsiTheme="minorHAnsi"/>
                <w:b/>
                <w:sz w:val="20"/>
                <w:szCs w:val="20"/>
              </w:rPr>
            </w:pPr>
          </w:p>
        </w:tc>
        <w:tc>
          <w:tcPr>
            <w:tcW w:w="939" w:type="dxa"/>
            <w:tcBorders>
              <w:bottom w:val="single" w:sz="4" w:space="0" w:color="808080" w:themeColor="background1" w:themeShade="80"/>
            </w:tcBorders>
            <w:shd w:val="clear" w:color="auto" w:fill="F2F2F2" w:themeFill="background1" w:themeFillShade="F2"/>
            <w:vAlign w:val="center"/>
          </w:tcPr>
          <w:p w:rsidR="008F0647"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04" w:type="dxa"/>
            <w:tcBorders>
              <w:bottom w:val="single" w:sz="4" w:space="0" w:color="808080" w:themeColor="background1" w:themeShade="80"/>
            </w:tcBorders>
            <w:shd w:val="clear" w:color="auto" w:fill="F2F2F2" w:themeFill="background1" w:themeFillShade="F2"/>
            <w:vAlign w:val="center"/>
          </w:tcPr>
          <w:p w:rsidR="008F0647" w:rsidRDefault="005F5E3F" w:rsidP="00430B97">
            <w:pPr>
              <w:jc w:val="center"/>
              <w:rPr>
                <w:rFonts w:asciiTheme="minorHAnsi" w:hAnsiTheme="minorHAnsi"/>
                <w:b/>
                <w:sz w:val="20"/>
                <w:szCs w:val="20"/>
              </w:rPr>
            </w:pPr>
            <w:r>
              <w:rPr>
                <w:rFonts w:asciiTheme="minorHAnsi" w:hAnsiTheme="minorHAnsi"/>
                <w:b/>
                <w:sz w:val="20"/>
                <w:szCs w:val="20"/>
              </w:rPr>
              <w:t>%</w:t>
            </w:r>
          </w:p>
        </w:tc>
        <w:tc>
          <w:tcPr>
            <w:tcW w:w="992" w:type="dxa"/>
            <w:tcBorders>
              <w:bottom w:val="single" w:sz="4" w:space="0" w:color="808080" w:themeColor="background1" w:themeShade="80"/>
            </w:tcBorders>
            <w:shd w:val="clear" w:color="auto" w:fill="F2F2F2" w:themeFill="background1" w:themeFillShade="F2"/>
            <w:vAlign w:val="center"/>
          </w:tcPr>
          <w:p w:rsidR="008F0647"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93" w:type="dxa"/>
            <w:tcBorders>
              <w:bottom w:val="single" w:sz="4" w:space="0" w:color="808080" w:themeColor="background1" w:themeShade="80"/>
            </w:tcBorders>
            <w:shd w:val="clear" w:color="auto" w:fill="F2F2F2" w:themeFill="background1" w:themeFillShade="F2"/>
            <w:vAlign w:val="center"/>
          </w:tcPr>
          <w:p w:rsidR="008F0647" w:rsidRDefault="005F5E3F" w:rsidP="00430B97">
            <w:pPr>
              <w:jc w:val="center"/>
              <w:rPr>
                <w:rFonts w:asciiTheme="minorHAnsi" w:hAnsiTheme="minorHAnsi"/>
                <w:b/>
                <w:sz w:val="20"/>
                <w:szCs w:val="20"/>
              </w:rPr>
            </w:pPr>
            <w:r>
              <w:rPr>
                <w:rFonts w:asciiTheme="minorHAnsi" w:hAnsiTheme="minorHAnsi"/>
                <w:b/>
                <w:sz w:val="20"/>
                <w:szCs w:val="20"/>
              </w:rPr>
              <w:t>%</w:t>
            </w:r>
          </w:p>
        </w:tc>
        <w:tc>
          <w:tcPr>
            <w:tcW w:w="992" w:type="dxa"/>
            <w:tcBorders>
              <w:bottom w:val="single" w:sz="4" w:space="0" w:color="808080" w:themeColor="background1" w:themeShade="80"/>
            </w:tcBorders>
            <w:shd w:val="clear" w:color="auto" w:fill="F2F2F2" w:themeFill="background1" w:themeFillShade="F2"/>
            <w:vAlign w:val="center"/>
          </w:tcPr>
          <w:p w:rsidR="008F0647"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850" w:type="dxa"/>
            <w:tcBorders>
              <w:bottom w:val="single" w:sz="4" w:space="0" w:color="808080" w:themeColor="background1" w:themeShade="80"/>
            </w:tcBorders>
            <w:shd w:val="clear" w:color="auto" w:fill="F2F2F2" w:themeFill="background1" w:themeFillShade="F2"/>
            <w:vAlign w:val="center"/>
          </w:tcPr>
          <w:p w:rsidR="008F0647" w:rsidRDefault="005F5E3F" w:rsidP="00430B97">
            <w:pPr>
              <w:jc w:val="center"/>
              <w:rPr>
                <w:rFonts w:asciiTheme="minorHAnsi" w:hAnsiTheme="minorHAnsi"/>
                <w:b/>
                <w:sz w:val="20"/>
                <w:szCs w:val="20"/>
              </w:rPr>
            </w:pPr>
            <w:r>
              <w:rPr>
                <w:rFonts w:asciiTheme="minorHAnsi" w:hAnsiTheme="minorHAnsi"/>
                <w:b/>
                <w:sz w:val="20"/>
                <w:szCs w:val="20"/>
              </w:rPr>
              <w:t>%</w:t>
            </w:r>
          </w:p>
        </w:tc>
        <w:tc>
          <w:tcPr>
            <w:tcW w:w="903" w:type="dxa"/>
            <w:tcBorders>
              <w:bottom w:val="single" w:sz="4" w:space="0" w:color="808080" w:themeColor="background1" w:themeShade="80"/>
            </w:tcBorders>
            <w:shd w:val="clear" w:color="auto" w:fill="F2F2F2" w:themeFill="background1" w:themeFillShade="F2"/>
            <w:vAlign w:val="center"/>
          </w:tcPr>
          <w:p w:rsidR="008F0647"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40" w:type="dxa"/>
            <w:tcBorders>
              <w:bottom w:val="single" w:sz="4" w:space="0" w:color="808080" w:themeColor="background1" w:themeShade="80"/>
            </w:tcBorders>
            <w:shd w:val="clear" w:color="auto" w:fill="F2F2F2" w:themeFill="background1" w:themeFillShade="F2"/>
            <w:vAlign w:val="center"/>
          </w:tcPr>
          <w:p w:rsidR="008F0647" w:rsidRDefault="005F5E3F" w:rsidP="00430B97">
            <w:pPr>
              <w:jc w:val="center"/>
              <w:rPr>
                <w:rFonts w:asciiTheme="minorHAnsi" w:hAnsiTheme="minorHAnsi"/>
                <w:b/>
                <w:sz w:val="20"/>
                <w:szCs w:val="20"/>
              </w:rPr>
            </w:pPr>
            <w:r>
              <w:rPr>
                <w:rFonts w:asciiTheme="minorHAnsi" w:hAnsiTheme="minorHAnsi"/>
                <w:b/>
                <w:sz w:val="20"/>
                <w:szCs w:val="20"/>
              </w:rPr>
              <w:t>%</w:t>
            </w:r>
          </w:p>
        </w:tc>
      </w:tr>
      <w:tr w:rsidR="008F0647" w:rsidTr="005F5E3F">
        <w:trPr>
          <w:cantSplit/>
          <w:trHeight w:val="425"/>
        </w:trPr>
        <w:tc>
          <w:tcPr>
            <w:tcW w:w="426" w:type="dxa"/>
            <w:vMerge w:val="restart"/>
            <w:tcBorders>
              <w:top w:val="single" w:sz="4" w:space="0" w:color="808080" w:themeColor="background1" w:themeShade="80"/>
              <w:bottom w:val="single" w:sz="4" w:space="0" w:color="808080" w:themeColor="background1" w:themeShade="80"/>
            </w:tcBorders>
            <w:textDirection w:val="btLr"/>
            <w:vAlign w:val="center"/>
          </w:tcPr>
          <w:p w:rsidR="008F0647" w:rsidRDefault="005F5E3F" w:rsidP="00EE7A5D">
            <w:pPr>
              <w:jc w:val="center"/>
              <w:rPr>
                <w:rFonts w:asciiTheme="minorHAnsi" w:hAnsiTheme="minorHAnsi"/>
                <w:sz w:val="20"/>
                <w:szCs w:val="20"/>
              </w:rPr>
            </w:pPr>
            <w:r>
              <w:rPr>
                <w:rFonts w:asciiTheme="minorHAnsi" w:hAnsiTheme="minorHAnsi"/>
                <w:sz w:val="20"/>
                <w:szCs w:val="20"/>
              </w:rPr>
              <w:t>Coastal</w:t>
            </w:r>
          </w:p>
        </w:tc>
        <w:tc>
          <w:tcPr>
            <w:tcW w:w="850"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2014</w:t>
            </w:r>
          </w:p>
        </w:tc>
        <w:tc>
          <w:tcPr>
            <w:tcW w:w="992"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1538</w:t>
            </w:r>
          </w:p>
        </w:tc>
        <w:tc>
          <w:tcPr>
            <w:tcW w:w="939"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1493</w:t>
            </w:r>
          </w:p>
        </w:tc>
        <w:tc>
          <w:tcPr>
            <w:tcW w:w="904"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97.1</w:t>
            </w:r>
          </w:p>
        </w:tc>
        <w:tc>
          <w:tcPr>
            <w:tcW w:w="992"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1516</w:t>
            </w:r>
          </w:p>
        </w:tc>
        <w:tc>
          <w:tcPr>
            <w:tcW w:w="993"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98.6</w:t>
            </w:r>
          </w:p>
        </w:tc>
        <w:tc>
          <w:tcPr>
            <w:tcW w:w="992"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22</w:t>
            </w:r>
          </w:p>
        </w:tc>
        <w:tc>
          <w:tcPr>
            <w:tcW w:w="940"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1.4</w:t>
            </w:r>
          </w:p>
        </w:tc>
      </w:tr>
      <w:tr w:rsidR="008F0647"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8F0647" w:rsidRDefault="005F5E3F" w:rsidP="005C19AE">
            <w:pPr>
              <w:jc w:val="center"/>
              <w:rPr>
                <w:rFonts w:asciiTheme="minorHAnsi" w:hAnsiTheme="minorHAnsi"/>
                <w:sz w:val="20"/>
                <w:szCs w:val="20"/>
              </w:rPr>
            </w:pPr>
            <w:r>
              <w:rPr>
                <w:rFonts w:asciiTheme="minorHAnsi" w:hAnsiTheme="minorHAnsi"/>
                <w:sz w:val="20"/>
                <w:szCs w:val="20"/>
              </w:rPr>
              <w:t>Coastal</w:t>
            </w:r>
          </w:p>
          <w:p w:rsidR="008F0647" w:rsidRDefault="008F0647" w:rsidP="005C19AE">
            <w:pPr>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2015</w:t>
            </w:r>
          </w:p>
        </w:tc>
        <w:tc>
          <w:tcPr>
            <w:tcW w:w="992"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1540</w:t>
            </w:r>
          </w:p>
        </w:tc>
        <w:tc>
          <w:tcPr>
            <w:tcW w:w="939"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1497</w:t>
            </w:r>
          </w:p>
        </w:tc>
        <w:tc>
          <w:tcPr>
            <w:tcW w:w="904"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97.2</w:t>
            </w:r>
          </w:p>
        </w:tc>
        <w:tc>
          <w:tcPr>
            <w:tcW w:w="992"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1506</w:t>
            </w:r>
          </w:p>
        </w:tc>
        <w:tc>
          <w:tcPr>
            <w:tcW w:w="993"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97.8</w:t>
            </w:r>
          </w:p>
        </w:tc>
        <w:tc>
          <w:tcPr>
            <w:tcW w:w="992"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34</w:t>
            </w:r>
          </w:p>
        </w:tc>
        <w:tc>
          <w:tcPr>
            <w:tcW w:w="940"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2.2</w:t>
            </w:r>
          </w:p>
        </w:tc>
      </w:tr>
      <w:tr w:rsidR="008F0647"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8F0647" w:rsidRDefault="005F5E3F" w:rsidP="005C19AE">
            <w:pPr>
              <w:jc w:val="center"/>
              <w:rPr>
                <w:rFonts w:asciiTheme="minorHAnsi" w:hAnsiTheme="minorHAnsi"/>
                <w:sz w:val="20"/>
                <w:szCs w:val="20"/>
              </w:rPr>
            </w:pPr>
            <w:r>
              <w:rPr>
                <w:rFonts w:asciiTheme="minorHAnsi" w:hAnsiTheme="minorHAnsi"/>
                <w:sz w:val="20"/>
                <w:szCs w:val="20"/>
              </w:rPr>
              <w:t>Coastal</w:t>
            </w:r>
          </w:p>
          <w:p w:rsidR="008F0647" w:rsidRDefault="008F0647" w:rsidP="005C19AE">
            <w:pPr>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2016</w:t>
            </w:r>
          </w:p>
        </w:tc>
        <w:tc>
          <w:tcPr>
            <w:tcW w:w="992"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1540</w:t>
            </w:r>
          </w:p>
        </w:tc>
        <w:tc>
          <w:tcPr>
            <w:tcW w:w="939"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1495</w:t>
            </w:r>
          </w:p>
        </w:tc>
        <w:tc>
          <w:tcPr>
            <w:tcW w:w="904"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97.1</w:t>
            </w:r>
          </w:p>
        </w:tc>
        <w:tc>
          <w:tcPr>
            <w:tcW w:w="992"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1505</w:t>
            </w:r>
          </w:p>
        </w:tc>
        <w:tc>
          <w:tcPr>
            <w:tcW w:w="993"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97.7</w:t>
            </w:r>
          </w:p>
        </w:tc>
        <w:tc>
          <w:tcPr>
            <w:tcW w:w="992"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35</w:t>
            </w:r>
          </w:p>
        </w:tc>
        <w:tc>
          <w:tcPr>
            <w:tcW w:w="940"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2.3</w:t>
            </w:r>
          </w:p>
        </w:tc>
      </w:tr>
      <w:tr w:rsidR="008F0647"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8F0647" w:rsidRDefault="005F5E3F" w:rsidP="005C19AE">
            <w:pPr>
              <w:jc w:val="center"/>
              <w:rPr>
                <w:rFonts w:asciiTheme="minorHAnsi" w:hAnsiTheme="minorHAnsi"/>
                <w:sz w:val="20"/>
                <w:szCs w:val="20"/>
              </w:rPr>
            </w:pPr>
            <w:r>
              <w:rPr>
                <w:rFonts w:asciiTheme="minorHAnsi" w:hAnsiTheme="minorHAnsi"/>
                <w:sz w:val="20"/>
                <w:szCs w:val="20"/>
              </w:rPr>
              <w:t>Coastal</w:t>
            </w:r>
          </w:p>
          <w:p w:rsidR="008F0647" w:rsidRDefault="008F0647" w:rsidP="005C19AE">
            <w:pPr>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2017</w:t>
            </w:r>
          </w:p>
        </w:tc>
        <w:tc>
          <w:tcPr>
            <w:tcW w:w="992"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1595</w:t>
            </w:r>
          </w:p>
        </w:tc>
        <w:tc>
          <w:tcPr>
            <w:tcW w:w="939"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1531</w:t>
            </w:r>
          </w:p>
        </w:tc>
        <w:tc>
          <w:tcPr>
            <w:tcW w:w="904"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96.0</w:t>
            </w:r>
          </w:p>
        </w:tc>
        <w:tc>
          <w:tcPr>
            <w:tcW w:w="992"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1543</w:t>
            </w:r>
          </w:p>
        </w:tc>
        <w:tc>
          <w:tcPr>
            <w:tcW w:w="993"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96.7</w:t>
            </w:r>
          </w:p>
        </w:tc>
        <w:tc>
          <w:tcPr>
            <w:tcW w:w="992"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52</w:t>
            </w:r>
          </w:p>
        </w:tc>
        <w:tc>
          <w:tcPr>
            <w:tcW w:w="940"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3.3</w:t>
            </w:r>
          </w:p>
        </w:tc>
      </w:tr>
      <w:tr w:rsidR="008F0647" w:rsidTr="005F5E3F">
        <w:trPr>
          <w:cantSplit/>
          <w:trHeight w:val="425"/>
        </w:trPr>
        <w:tc>
          <w:tcPr>
            <w:tcW w:w="426" w:type="dxa"/>
            <w:vMerge w:val="restart"/>
            <w:tcBorders>
              <w:top w:val="single" w:sz="4" w:space="0" w:color="808080" w:themeColor="background1" w:themeShade="80"/>
              <w:bottom w:val="single" w:sz="4" w:space="0" w:color="808080" w:themeColor="background1" w:themeShade="80"/>
            </w:tcBorders>
            <w:textDirection w:val="btLr"/>
            <w:vAlign w:val="center"/>
          </w:tcPr>
          <w:p w:rsidR="008F0647" w:rsidRDefault="005F5E3F" w:rsidP="00EE7A5D">
            <w:pPr>
              <w:ind w:left="113" w:right="113"/>
              <w:jc w:val="center"/>
              <w:rPr>
                <w:rFonts w:asciiTheme="minorHAnsi" w:hAnsiTheme="minorHAnsi"/>
                <w:sz w:val="20"/>
                <w:szCs w:val="20"/>
              </w:rPr>
            </w:pPr>
            <w:r>
              <w:rPr>
                <w:rFonts w:asciiTheme="minorHAnsi" w:hAnsiTheme="minorHAnsi"/>
                <w:sz w:val="20"/>
                <w:szCs w:val="20"/>
              </w:rPr>
              <w:t>Inland</w:t>
            </w:r>
          </w:p>
        </w:tc>
        <w:tc>
          <w:tcPr>
            <w:tcW w:w="850"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2014</w:t>
            </w:r>
          </w:p>
        </w:tc>
        <w:tc>
          <w:tcPr>
            <w:tcW w:w="992"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2</w:t>
            </w:r>
          </w:p>
        </w:tc>
        <w:tc>
          <w:tcPr>
            <w:tcW w:w="939"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1</w:t>
            </w:r>
          </w:p>
        </w:tc>
        <w:tc>
          <w:tcPr>
            <w:tcW w:w="904"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50.0</w:t>
            </w:r>
          </w:p>
        </w:tc>
        <w:tc>
          <w:tcPr>
            <w:tcW w:w="992"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2</w:t>
            </w:r>
          </w:p>
        </w:tc>
        <w:tc>
          <w:tcPr>
            <w:tcW w:w="993"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100.0</w:t>
            </w:r>
          </w:p>
        </w:tc>
        <w:tc>
          <w:tcPr>
            <w:tcW w:w="992"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0</w:t>
            </w:r>
          </w:p>
        </w:tc>
        <w:tc>
          <w:tcPr>
            <w:tcW w:w="940"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0.0</w:t>
            </w:r>
          </w:p>
        </w:tc>
      </w:tr>
      <w:tr w:rsidR="008F0647"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8F0647" w:rsidRDefault="005F5E3F" w:rsidP="00CB130C">
            <w:pPr>
              <w:ind w:left="113" w:right="113"/>
              <w:jc w:val="center"/>
              <w:rPr>
                <w:rFonts w:asciiTheme="minorHAnsi" w:hAnsiTheme="minorHAnsi"/>
                <w:sz w:val="20"/>
                <w:szCs w:val="20"/>
              </w:rPr>
            </w:pPr>
            <w:r>
              <w:rPr>
                <w:rFonts w:asciiTheme="minorHAnsi" w:hAnsiTheme="minorHAnsi"/>
                <w:sz w:val="20"/>
                <w:szCs w:val="20"/>
              </w:rPr>
              <w:t>Inland</w:t>
            </w:r>
          </w:p>
          <w:p w:rsidR="008F0647" w:rsidRDefault="008F0647" w:rsidP="00CB130C">
            <w:pPr>
              <w:ind w:left="113" w:right="113"/>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2015</w:t>
            </w:r>
          </w:p>
        </w:tc>
        <w:tc>
          <w:tcPr>
            <w:tcW w:w="992"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2</w:t>
            </w:r>
          </w:p>
        </w:tc>
        <w:tc>
          <w:tcPr>
            <w:tcW w:w="939"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2</w:t>
            </w:r>
          </w:p>
        </w:tc>
        <w:tc>
          <w:tcPr>
            <w:tcW w:w="904"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100.0</w:t>
            </w:r>
          </w:p>
        </w:tc>
        <w:tc>
          <w:tcPr>
            <w:tcW w:w="992"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2</w:t>
            </w:r>
          </w:p>
        </w:tc>
        <w:tc>
          <w:tcPr>
            <w:tcW w:w="993"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100.0</w:t>
            </w:r>
          </w:p>
        </w:tc>
        <w:tc>
          <w:tcPr>
            <w:tcW w:w="992"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0</w:t>
            </w:r>
          </w:p>
        </w:tc>
        <w:tc>
          <w:tcPr>
            <w:tcW w:w="940"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0.0</w:t>
            </w:r>
          </w:p>
        </w:tc>
      </w:tr>
      <w:tr w:rsidR="008F0647"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8F0647" w:rsidRDefault="005F5E3F" w:rsidP="00CB130C">
            <w:pPr>
              <w:ind w:left="113" w:right="113"/>
              <w:jc w:val="center"/>
              <w:rPr>
                <w:rFonts w:asciiTheme="minorHAnsi" w:hAnsiTheme="minorHAnsi"/>
                <w:sz w:val="20"/>
                <w:szCs w:val="20"/>
              </w:rPr>
            </w:pPr>
            <w:r>
              <w:rPr>
                <w:rFonts w:asciiTheme="minorHAnsi" w:hAnsiTheme="minorHAnsi"/>
                <w:sz w:val="20"/>
                <w:szCs w:val="20"/>
              </w:rPr>
              <w:t>Inland</w:t>
            </w:r>
          </w:p>
          <w:p w:rsidR="008F0647" w:rsidRDefault="008F0647" w:rsidP="00CB130C">
            <w:pPr>
              <w:ind w:left="113" w:right="113"/>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2016</w:t>
            </w:r>
          </w:p>
        </w:tc>
        <w:tc>
          <w:tcPr>
            <w:tcW w:w="992"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2</w:t>
            </w:r>
          </w:p>
        </w:tc>
        <w:tc>
          <w:tcPr>
            <w:tcW w:w="939"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1</w:t>
            </w:r>
          </w:p>
        </w:tc>
        <w:tc>
          <w:tcPr>
            <w:tcW w:w="904"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50.0</w:t>
            </w:r>
          </w:p>
        </w:tc>
        <w:tc>
          <w:tcPr>
            <w:tcW w:w="992"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2</w:t>
            </w:r>
          </w:p>
        </w:tc>
        <w:tc>
          <w:tcPr>
            <w:tcW w:w="993"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100.0</w:t>
            </w:r>
          </w:p>
        </w:tc>
        <w:tc>
          <w:tcPr>
            <w:tcW w:w="992"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0</w:t>
            </w:r>
          </w:p>
        </w:tc>
        <w:tc>
          <w:tcPr>
            <w:tcW w:w="940"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0.0</w:t>
            </w:r>
          </w:p>
        </w:tc>
      </w:tr>
      <w:tr w:rsidR="008F0647"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8F0647" w:rsidRDefault="005F5E3F" w:rsidP="00CB130C">
            <w:pPr>
              <w:ind w:left="113" w:right="113"/>
              <w:jc w:val="center"/>
              <w:rPr>
                <w:rFonts w:asciiTheme="minorHAnsi" w:hAnsiTheme="minorHAnsi"/>
                <w:sz w:val="20"/>
                <w:szCs w:val="20"/>
              </w:rPr>
            </w:pPr>
            <w:r>
              <w:rPr>
                <w:rFonts w:asciiTheme="minorHAnsi" w:hAnsiTheme="minorHAnsi"/>
                <w:sz w:val="20"/>
                <w:szCs w:val="20"/>
              </w:rPr>
              <w:t>Inland</w:t>
            </w:r>
          </w:p>
          <w:p w:rsidR="008F0647" w:rsidRDefault="008F0647" w:rsidP="00CB130C">
            <w:pPr>
              <w:ind w:left="113" w:right="113"/>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2017</w:t>
            </w:r>
          </w:p>
        </w:tc>
        <w:tc>
          <w:tcPr>
            <w:tcW w:w="992"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3</w:t>
            </w:r>
          </w:p>
        </w:tc>
        <w:tc>
          <w:tcPr>
            <w:tcW w:w="939"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2</w:t>
            </w:r>
          </w:p>
        </w:tc>
        <w:tc>
          <w:tcPr>
            <w:tcW w:w="904"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66.7</w:t>
            </w:r>
          </w:p>
        </w:tc>
        <w:tc>
          <w:tcPr>
            <w:tcW w:w="992"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2</w:t>
            </w:r>
          </w:p>
        </w:tc>
        <w:tc>
          <w:tcPr>
            <w:tcW w:w="993"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66.7</w:t>
            </w:r>
          </w:p>
        </w:tc>
        <w:tc>
          <w:tcPr>
            <w:tcW w:w="992"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1</w:t>
            </w:r>
          </w:p>
        </w:tc>
        <w:tc>
          <w:tcPr>
            <w:tcW w:w="940" w:type="dxa"/>
            <w:tcBorders>
              <w:top w:val="single" w:sz="4" w:space="0" w:color="808080" w:themeColor="background1" w:themeShade="80"/>
              <w:bottom w:val="single" w:sz="4" w:space="0" w:color="808080" w:themeColor="background1" w:themeShade="80"/>
            </w:tcBorders>
            <w:vAlign w:val="center"/>
          </w:tcPr>
          <w:p w:rsidR="008F0647" w:rsidRDefault="005F5E3F" w:rsidP="002E7263">
            <w:pPr>
              <w:jc w:val="right"/>
              <w:rPr>
                <w:rFonts w:asciiTheme="minorHAnsi" w:hAnsiTheme="minorHAnsi"/>
                <w:sz w:val="20"/>
                <w:szCs w:val="20"/>
              </w:rPr>
            </w:pPr>
            <w:r>
              <w:rPr>
                <w:rFonts w:asciiTheme="minorHAnsi" w:hAnsiTheme="minorHAnsi"/>
                <w:sz w:val="20"/>
                <w:szCs w:val="20"/>
              </w:rPr>
              <w:t>33.3</w:t>
            </w:r>
          </w:p>
        </w:tc>
      </w:tr>
      <w:tr w:rsidR="008F0647" w:rsidTr="005F5E3F">
        <w:trPr>
          <w:cantSplit/>
          <w:trHeight w:val="425"/>
        </w:trPr>
        <w:tc>
          <w:tcPr>
            <w:tcW w:w="426" w:type="dxa"/>
            <w:vMerge w:val="restart"/>
            <w:tcBorders>
              <w:top w:val="single" w:sz="4" w:space="0" w:color="808080" w:themeColor="background1" w:themeShade="80"/>
            </w:tcBorders>
            <w:textDirection w:val="btLr"/>
            <w:vAlign w:val="center"/>
          </w:tcPr>
          <w:p w:rsidR="008F0647" w:rsidRDefault="005F5E3F" w:rsidP="00EE7A5D">
            <w:pPr>
              <w:ind w:left="113" w:right="113"/>
              <w:jc w:val="center"/>
              <w:rPr>
                <w:rFonts w:asciiTheme="minorHAnsi" w:hAnsiTheme="minorHAnsi"/>
                <w:b/>
                <w:sz w:val="20"/>
                <w:szCs w:val="20"/>
              </w:rPr>
            </w:pPr>
            <w:r>
              <w:rPr>
                <w:rFonts w:asciiTheme="minorHAnsi" w:hAnsiTheme="minorHAnsi"/>
                <w:b/>
                <w:sz w:val="20"/>
                <w:szCs w:val="20"/>
              </w:rPr>
              <w:t>Total</w:t>
            </w:r>
          </w:p>
        </w:tc>
        <w:tc>
          <w:tcPr>
            <w:tcW w:w="850" w:type="dxa"/>
            <w:tcBorders>
              <w:top w:val="single" w:sz="4" w:space="0" w:color="808080" w:themeColor="background1" w:themeShade="80"/>
            </w:tcBorders>
            <w:vAlign w:val="center"/>
          </w:tcPr>
          <w:p w:rsidR="008F0647" w:rsidRDefault="005F5E3F" w:rsidP="002E7263">
            <w:pPr>
              <w:jc w:val="right"/>
              <w:rPr>
                <w:rFonts w:asciiTheme="minorHAnsi" w:hAnsiTheme="minorHAnsi"/>
                <w:b/>
                <w:sz w:val="20"/>
                <w:szCs w:val="20"/>
              </w:rPr>
            </w:pPr>
            <w:r>
              <w:rPr>
                <w:rFonts w:asciiTheme="minorHAnsi" w:hAnsiTheme="minorHAnsi"/>
                <w:b/>
                <w:sz w:val="20"/>
                <w:szCs w:val="20"/>
              </w:rPr>
              <w:t>2014</w:t>
            </w:r>
          </w:p>
        </w:tc>
        <w:tc>
          <w:tcPr>
            <w:tcW w:w="992" w:type="dxa"/>
            <w:tcBorders>
              <w:top w:val="single" w:sz="4" w:space="0" w:color="808080" w:themeColor="background1" w:themeShade="80"/>
            </w:tcBorders>
            <w:vAlign w:val="center"/>
          </w:tcPr>
          <w:p w:rsidR="008F0647" w:rsidRDefault="005F5E3F" w:rsidP="002E7263">
            <w:pPr>
              <w:jc w:val="right"/>
              <w:rPr>
                <w:rFonts w:asciiTheme="minorHAnsi" w:hAnsiTheme="minorHAnsi"/>
                <w:b/>
                <w:sz w:val="20"/>
                <w:szCs w:val="20"/>
              </w:rPr>
            </w:pPr>
            <w:r>
              <w:rPr>
                <w:rFonts w:asciiTheme="minorHAnsi" w:hAnsiTheme="minorHAnsi"/>
                <w:b/>
                <w:sz w:val="20"/>
                <w:szCs w:val="20"/>
              </w:rPr>
              <w:t>1540</w:t>
            </w:r>
          </w:p>
        </w:tc>
        <w:tc>
          <w:tcPr>
            <w:tcW w:w="939" w:type="dxa"/>
            <w:tcBorders>
              <w:top w:val="single" w:sz="4" w:space="0" w:color="808080" w:themeColor="background1" w:themeShade="80"/>
            </w:tcBorders>
            <w:vAlign w:val="center"/>
          </w:tcPr>
          <w:p w:rsidR="008F0647" w:rsidRDefault="005F5E3F" w:rsidP="002E7263">
            <w:pPr>
              <w:jc w:val="right"/>
              <w:rPr>
                <w:rFonts w:asciiTheme="minorHAnsi" w:hAnsiTheme="minorHAnsi"/>
                <w:b/>
                <w:sz w:val="20"/>
                <w:szCs w:val="20"/>
              </w:rPr>
            </w:pPr>
            <w:r>
              <w:rPr>
                <w:rFonts w:asciiTheme="minorHAnsi" w:hAnsiTheme="minorHAnsi"/>
                <w:b/>
                <w:sz w:val="20"/>
                <w:szCs w:val="20"/>
              </w:rPr>
              <w:t>1494</w:t>
            </w:r>
          </w:p>
        </w:tc>
        <w:tc>
          <w:tcPr>
            <w:tcW w:w="904" w:type="dxa"/>
            <w:tcBorders>
              <w:top w:val="single" w:sz="4" w:space="0" w:color="808080" w:themeColor="background1" w:themeShade="80"/>
            </w:tcBorders>
            <w:vAlign w:val="center"/>
          </w:tcPr>
          <w:p w:rsidR="008F0647" w:rsidRDefault="005F5E3F" w:rsidP="002E7263">
            <w:pPr>
              <w:jc w:val="right"/>
              <w:rPr>
                <w:rFonts w:asciiTheme="minorHAnsi" w:hAnsiTheme="minorHAnsi"/>
                <w:b/>
                <w:sz w:val="20"/>
                <w:szCs w:val="20"/>
              </w:rPr>
            </w:pPr>
            <w:r>
              <w:rPr>
                <w:rFonts w:asciiTheme="minorHAnsi" w:hAnsiTheme="minorHAnsi"/>
                <w:b/>
                <w:sz w:val="20"/>
                <w:szCs w:val="20"/>
              </w:rPr>
              <w:t>97.0</w:t>
            </w:r>
          </w:p>
        </w:tc>
        <w:tc>
          <w:tcPr>
            <w:tcW w:w="992" w:type="dxa"/>
            <w:tcBorders>
              <w:top w:val="single" w:sz="4" w:space="0" w:color="808080" w:themeColor="background1" w:themeShade="80"/>
            </w:tcBorders>
            <w:vAlign w:val="center"/>
          </w:tcPr>
          <w:p w:rsidR="008F0647" w:rsidRDefault="005F5E3F" w:rsidP="002E7263">
            <w:pPr>
              <w:jc w:val="right"/>
              <w:rPr>
                <w:rFonts w:asciiTheme="minorHAnsi" w:hAnsiTheme="minorHAnsi"/>
                <w:b/>
                <w:sz w:val="20"/>
                <w:szCs w:val="20"/>
              </w:rPr>
            </w:pPr>
            <w:r>
              <w:rPr>
                <w:rFonts w:asciiTheme="minorHAnsi" w:hAnsiTheme="minorHAnsi"/>
                <w:b/>
                <w:sz w:val="20"/>
                <w:szCs w:val="20"/>
              </w:rPr>
              <w:t>1518</w:t>
            </w:r>
          </w:p>
        </w:tc>
        <w:tc>
          <w:tcPr>
            <w:tcW w:w="993" w:type="dxa"/>
            <w:tcBorders>
              <w:top w:val="single" w:sz="4" w:space="0" w:color="808080" w:themeColor="background1" w:themeShade="80"/>
            </w:tcBorders>
            <w:vAlign w:val="center"/>
          </w:tcPr>
          <w:p w:rsidR="008F0647" w:rsidRDefault="005F5E3F" w:rsidP="002E7263">
            <w:pPr>
              <w:jc w:val="right"/>
              <w:rPr>
                <w:rFonts w:asciiTheme="minorHAnsi" w:hAnsiTheme="minorHAnsi"/>
                <w:b/>
                <w:sz w:val="20"/>
                <w:szCs w:val="20"/>
              </w:rPr>
            </w:pPr>
            <w:r>
              <w:rPr>
                <w:rFonts w:asciiTheme="minorHAnsi" w:hAnsiTheme="minorHAnsi"/>
                <w:b/>
                <w:sz w:val="20"/>
                <w:szCs w:val="20"/>
              </w:rPr>
              <w:t>98.6</w:t>
            </w:r>
          </w:p>
        </w:tc>
        <w:tc>
          <w:tcPr>
            <w:tcW w:w="992" w:type="dxa"/>
            <w:tcBorders>
              <w:top w:val="single" w:sz="4" w:space="0" w:color="808080" w:themeColor="background1" w:themeShade="80"/>
            </w:tcBorders>
            <w:vAlign w:val="center"/>
          </w:tcPr>
          <w:p w:rsidR="008F0647" w:rsidRDefault="005F5E3F" w:rsidP="002E7263">
            <w:pPr>
              <w:jc w:val="right"/>
              <w:rPr>
                <w:rFonts w:asciiTheme="minorHAnsi" w:hAnsiTheme="minorHAnsi"/>
                <w:b/>
                <w:sz w:val="20"/>
                <w:szCs w:val="20"/>
              </w:rPr>
            </w:pPr>
            <w:r>
              <w:rPr>
                <w:rFonts w:asciiTheme="minorHAnsi" w:hAnsiTheme="minorHAnsi"/>
                <w:b/>
                <w:sz w:val="20"/>
                <w:szCs w:val="20"/>
              </w:rPr>
              <w:t>0</w:t>
            </w:r>
          </w:p>
        </w:tc>
        <w:tc>
          <w:tcPr>
            <w:tcW w:w="850" w:type="dxa"/>
            <w:tcBorders>
              <w:top w:val="single" w:sz="4" w:space="0" w:color="808080" w:themeColor="background1" w:themeShade="80"/>
            </w:tcBorders>
            <w:vAlign w:val="center"/>
          </w:tcPr>
          <w:p w:rsidR="008F0647" w:rsidRDefault="005F5E3F" w:rsidP="002E7263">
            <w:pPr>
              <w:jc w:val="right"/>
              <w:rPr>
                <w:rFonts w:asciiTheme="minorHAnsi" w:hAnsiTheme="minorHAnsi"/>
                <w:b/>
                <w:sz w:val="20"/>
                <w:szCs w:val="20"/>
              </w:rPr>
            </w:pPr>
            <w:r>
              <w:rPr>
                <w:rFonts w:asciiTheme="minorHAnsi" w:hAnsiTheme="minorHAnsi"/>
                <w:b/>
                <w:sz w:val="20"/>
                <w:szCs w:val="20"/>
              </w:rPr>
              <w:t>0.0</w:t>
            </w:r>
          </w:p>
        </w:tc>
        <w:tc>
          <w:tcPr>
            <w:tcW w:w="903" w:type="dxa"/>
            <w:tcBorders>
              <w:top w:val="single" w:sz="4" w:space="0" w:color="808080" w:themeColor="background1" w:themeShade="80"/>
            </w:tcBorders>
            <w:vAlign w:val="center"/>
          </w:tcPr>
          <w:p w:rsidR="008F0647" w:rsidRDefault="005F5E3F" w:rsidP="002E7263">
            <w:pPr>
              <w:jc w:val="right"/>
              <w:rPr>
                <w:rFonts w:asciiTheme="minorHAnsi" w:hAnsiTheme="minorHAnsi"/>
                <w:b/>
                <w:sz w:val="20"/>
                <w:szCs w:val="20"/>
              </w:rPr>
            </w:pPr>
            <w:r>
              <w:rPr>
                <w:rFonts w:asciiTheme="minorHAnsi" w:hAnsiTheme="minorHAnsi"/>
                <w:b/>
                <w:sz w:val="20"/>
                <w:szCs w:val="20"/>
              </w:rPr>
              <w:t>22</w:t>
            </w:r>
          </w:p>
        </w:tc>
        <w:tc>
          <w:tcPr>
            <w:tcW w:w="940" w:type="dxa"/>
            <w:tcBorders>
              <w:top w:val="single" w:sz="4" w:space="0" w:color="808080" w:themeColor="background1" w:themeShade="80"/>
            </w:tcBorders>
            <w:vAlign w:val="center"/>
          </w:tcPr>
          <w:p w:rsidR="008F0647" w:rsidRDefault="005F5E3F" w:rsidP="002E7263">
            <w:pPr>
              <w:jc w:val="right"/>
              <w:rPr>
                <w:rFonts w:asciiTheme="minorHAnsi" w:hAnsiTheme="minorHAnsi"/>
                <w:b/>
                <w:sz w:val="20"/>
                <w:szCs w:val="20"/>
              </w:rPr>
            </w:pPr>
            <w:r>
              <w:rPr>
                <w:rFonts w:asciiTheme="minorHAnsi" w:hAnsiTheme="minorHAnsi"/>
                <w:b/>
                <w:sz w:val="20"/>
                <w:szCs w:val="20"/>
              </w:rPr>
              <w:t>1.4</w:t>
            </w:r>
          </w:p>
        </w:tc>
      </w:tr>
      <w:tr w:rsidR="008F0647" w:rsidTr="005F5E3F">
        <w:trPr>
          <w:cantSplit/>
          <w:trHeight w:val="425"/>
        </w:trPr>
        <w:tc>
          <w:tcPr>
            <w:tcW w:w="426" w:type="dxa"/>
            <w:vMerge/>
            <w:tcBorders>
              <w:top w:val="single" w:sz="4" w:space="0" w:color="808080" w:themeColor="background1" w:themeShade="80"/>
            </w:tcBorders>
            <w:textDirection w:val="btLr"/>
            <w:vAlign w:val="center"/>
          </w:tcPr>
          <w:p w:rsidR="008F0647"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8F0647" w:rsidRDefault="008F0647"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8F0647" w:rsidRDefault="005F5E3F" w:rsidP="002E7263">
            <w:pPr>
              <w:jc w:val="right"/>
              <w:rPr>
                <w:rFonts w:asciiTheme="minorHAnsi" w:hAnsiTheme="minorHAnsi"/>
                <w:b/>
                <w:sz w:val="20"/>
                <w:szCs w:val="20"/>
              </w:rPr>
            </w:pPr>
            <w:r>
              <w:rPr>
                <w:rFonts w:asciiTheme="minorHAnsi" w:hAnsiTheme="minorHAnsi"/>
                <w:b/>
                <w:sz w:val="20"/>
                <w:szCs w:val="20"/>
              </w:rPr>
              <w:t>2015</w:t>
            </w:r>
          </w:p>
        </w:tc>
        <w:tc>
          <w:tcPr>
            <w:tcW w:w="992" w:type="dxa"/>
            <w:tcBorders>
              <w:top w:val="single" w:sz="4" w:space="0" w:color="808080" w:themeColor="background1" w:themeShade="80"/>
            </w:tcBorders>
            <w:vAlign w:val="center"/>
          </w:tcPr>
          <w:p w:rsidR="008F0647" w:rsidRDefault="005F5E3F" w:rsidP="002E7263">
            <w:pPr>
              <w:jc w:val="right"/>
              <w:rPr>
                <w:rFonts w:asciiTheme="minorHAnsi" w:hAnsiTheme="minorHAnsi"/>
                <w:b/>
                <w:sz w:val="20"/>
                <w:szCs w:val="20"/>
              </w:rPr>
            </w:pPr>
            <w:r>
              <w:rPr>
                <w:rFonts w:asciiTheme="minorHAnsi" w:hAnsiTheme="minorHAnsi"/>
                <w:b/>
                <w:sz w:val="20"/>
                <w:szCs w:val="20"/>
              </w:rPr>
              <w:t>1542</w:t>
            </w:r>
          </w:p>
        </w:tc>
        <w:tc>
          <w:tcPr>
            <w:tcW w:w="939" w:type="dxa"/>
            <w:tcBorders>
              <w:top w:val="single" w:sz="4" w:space="0" w:color="808080" w:themeColor="background1" w:themeShade="80"/>
            </w:tcBorders>
            <w:vAlign w:val="center"/>
          </w:tcPr>
          <w:p w:rsidR="008F0647" w:rsidRDefault="005F5E3F" w:rsidP="002E7263">
            <w:pPr>
              <w:jc w:val="right"/>
              <w:rPr>
                <w:rFonts w:asciiTheme="minorHAnsi" w:hAnsiTheme="minorHAnsi"/>
                <w:b/>
                <w:sz w:val="20"/>
                <w:szCs w:val="20"/>
              </w:rPr>
            </w:pPr>
            <w:r>
              <w:rPr>
                <w:rFonts w:asciiTheme="minorHAnsi" w:hAnsiTheme="minorHAnsi"/>
                <w:b/>
                <w:sz w:val="20"/>
                <w:szCs w:val="20"/>
              </w:rPr>
              <w:t>1499</w:t>
            </w:r>
          </w:p>
        </w:tc>
        <w:tc>
          <w:tcPr>
            <w:tcW w:w="904" w:type="dxa"/>
            <w:tcBorders>
              <w:top w:val="single" w:sz="4" w:space="0" w:color="808080" w:themeColor="background1" w:themeShade="80"/>
            </w:tcBorders>
            <w:vAlign w:val="center"/>
          </w:tcPr>
          <w:p w:rsidR="008F0647" w:rsidRDefault="005F5E3F" w:rsidP="002E7263">
            <w:pPr>
              <w:jc w:val="right"/>
              <w:rPr>
                <w:rFonts w:asciiTheme="minorHAnsi" w:hAnsiTheme="minorHAnsi"/>
                <w:b/>
                <w:sz w:val="20"/>
                <w:szCs w:val="20"/>
              </w:rPr>
            </w:pPr>
            <w:r>
              <w:rPr>
                <w:rFonts w:asciiTheme="minorHAnsi" w:hAnsiTheme="minorHAnsi"/>
                <w:b/>
                <w:sz w:val="20"/>
                <w:szCs w:val="20"/>
              </w:rPr>
              <w:t>97.2</w:t>
            </w:r>
          </w:p>
        </w:tc>
        <w:tc>
          <w:tcPr>
            <w:tcW w:w="992" w:type="dxa"/>
            <w:tcBorders>
              <w:top w:val="single" w:sz="4" w:space="0" w:color="808080" w:themeColor="background1" w:themeShade="80"/>
            </w:tcBorders>
            <w:vAlign w:val="center"/>
          </w:tcPr>
          <w:p w:rsidR="008F0647" w:rsidRDefault="005F5E3F" w:rsidP="002E7263">
            <w:pPr>
              <w:jc w:val="right"/>
              <w:rPr>
                <w:rFonts w:asciiTheme="minorHAnsi" w:hAnsiTheme="minorHAnsi"/>
                <w:b/>
                <w:sz w:val="20"/>
                <w:szCs w:val="20"/>
              </w:rPr>
            </w:pPr>
            <w:r>
              <w:rPr>
                <w:rFonts w:asciiTheme="minorHAnsi" w:hAnsiTheme="minorHAnsi"/>
                <w:b/>
                <w:sz w:val="20"/>
                <w:szCs w:val="20"/>
              </w:rPr>
              <w:t>1508</w:t>
            </w:r>
          </w:p>
        </w:tc>
        <w:tc>
          <w:tcPr>
            <w:tcW w:w="993" w:type="dxa"/>
            <w:tcBorders>
              <w:top w:val="single" w:sz="4" w:space="0" w:color="808080" w:themeColor="background1" w:themeShade="80"/>
            </w:tcBorders>
            <w:vAlign w:val="center"/>
          </w:tcPr>
          <w:p w:rsidR="008F0647" w:rsidRDefault="005F5E3F" w:rsidP="002E7263">
            <w:pPr>
              <w:jc w:val="right"/>
              <w:rPr>
                <w:rFonts w:asciiTheme="minorHAnsi" w:hAnsiTheme="minorHAnsi"/>
                <w:b/>
                <w:sz w:val="20"/>
                <w:szCs w:val="20"/>
              </w:rPr>
            </w:pPr>
            <w:r>
              <w:rPr>
                <w:rFonts w:asciiTheme="minorHAnsi" w:hAnsiTheme="minorHAnsi"/>
                <w:b/>
                <w:sz w:val="20"/>
                <w:szCs w:val="20"/>
              </w:rPr>
              <w:t>97.8</w:t>
            </w:r>
          </w:p>
        </w:tc>
        <w:tc>
          <w:tcPr>
            <w:tcW w:w="992" w:type="dxa"/>
            <w:tcBorders>
              <w:top w:val="single" w:sz="4" w:space="0" w:color="808080" w:themeColor="background1" w:themeShade="80"/>
            </w:tcBorders>
            <w:vAlign w:val="center"/>
          </w:tcPr>
          <w:p w:rsidR="008F0647" w:rsidRDefault="005F5E3F" w:rsidP="002E7263">
            <w:pPr>
              <w:jc w:val="right"/>
              <w:rPr>
                <w:rFonts w:asciiTheme="minorHAnsi" w:hAnsiTheme="minorHAnsi"/>
                <w:b/>
                <w:sz w:val="20"/>
                <w:szCs w:val="20"/>
              </w:rPr>
            </w:pPr>
            <w:r>
              <w:rPr>
                <w:rFonts w:asciiTheme="minorHAnsi" w:hAnsiTheme="minorHAnsi"/>
                <w:b/>
                <w:sz w:val="20"/>
                <w:szCs w:val="20"/>
              </w:rPr>
              <w:t>0</w:t>
            </w:r>
          </w:p>
        </w:tc>
        <w:tc>
          <w:tcPr>
            <w:tcW w:w="850" w:type="dxa"/>
            <w:tcBorders>
              <w:top w:val="single" w:sz="4" w:space="0" w:color="808080" w:themeColor="background1" w:themeShade="80"/>
            </w:tcBorders>
            <w:vAlign w:val="center"/>
          </w:tcPr>
          <w:p w:rsidR="008F0647" w:rsidRDefault="005F5E3F" w:rsidP="002E7263">
            <w:pPr>
              <w:jc w:val="right"/>
              <w:rPr>
                <w:rFonts w:asciiTheme="minorHAnsi" w:hAnsiTheme="minorHAnsi"/>
                <w:b/>
                <w:sz w:val="20"/>
                <w:szCs w:val="20"/>
              </w:rPr>
            </w:pPr>
            <w:r>
              <w:rPr>
                <w:rFonts w:asciiTheme="minorHAnsi" w:hAnsiTheme="minorHAnsi"/>
                <w:b/>
                <w:sz w:val="20"/>
                <w:szCs w:val="20"/>
              </w:rPr>
              <w:t>0.0</w:t>
            </w:r>
          </w:p>
        </w:tc>
        <w:tc>
          <w:tcPr>
            <w:tcW w:w="903" w:type="dxa"/>
            <w:tcBorders>
              <w:top w:val="single" w:sz="4" w:space="0" w:color="808080" w:themeColor="background1" w:themeShade="80"/>
            </w:tcBorders>
            <w:vAlign w:val="center"/>
          </w:tcPr>
          <w:p w:rsidR="008F0647" w:rsidRDefault="005F5E3F" w:rsidP="002E7263">
            <w:pPr>
              <w:jc w:val="right"/>
              <w:rPr>
                <w:rFonts w:asciiTheme="minorHAnsi" w:hAnsiTheme="minorHAnsi"/>
                <w:b/>
                <w:sz w:val="20"/>
                <w:szCs w:val="20"/>
              </w:rPr>
            </w:pPr>
            <w:r>
              <w:rPr>
                <w:rFonts w:asciiTheme="minorHAnsi" w:hAnsiTheme="minorHAnsi"/>
                <w:b/>
                <w:sz w:val="20"/>
                <w:szCs w:val="20"/>
              </w:rPr>
              <w:t>34</w:t>
            </w:r>
          </w:p>
        </w:tc>
        <w:tc>
          <w:tcPr>
            <w:tcW w:w="940" w:type="dxa"/>
            <w:tcBorders>
              <w:top w:val="single" w:sz="4" w:space="0" w:color="808080" w:themeColor="background1" w:themeShade="80"/>
            </w:tcBorders>
            <w:vAlign w:val="center"/>
          </w:tcPr>
          <w:p w:rsidR="008F0647" w:rsidRDefault="005F5E3F" w:rsidP="002E7263">
            <w:pPr>
              <w:jc w:val="right"/>
              <w:rPr>
                <w:rFonts w:asciiTheme="minorHAnsi" w:hAnsiTheme="minorHAnsi"/>
                <w:b/>
                <w:sz w:val="20"/>
                <w:szCs w:val="20"/>
              </w:rPr>
            </w:pPr>
            <w:r>
              <w:rPr>
                <w:rFonts w:asciiTheme="minorHAnsi" w:hAnsiTheme="minorHAnsi"/>
                <w:b/>
                <w:sz w:val="20"/>
                <w:szCs w:val="20"/>
              </w:rPr>
              <w:t>2.2</w:t>
            </w:r>
          </w:p>
        </w:tc>
      </w:tr>
      <w:tr w:rsidR="008F0647" w:rsidTr="005F5E3F">
        <w:trPr>
          <w:cantSplit/>
          <w:trHeight w:val="425"/>
        </w:trPr>
        <w:tc>
          <w:tcPr>
            <w:tcW w:w="426" w:type="dxa"/>
            <w:vMerge/>
            <w:tcBorders>
              <w:top w:val="single" w:sz="4" w:space="0" w:color="808080" w:themeColor="background1" w:themeShade="80"/>
            </w:tcBorders>
            <w:textDirection w:val="btLr"/>
            <w:vAlign w:val="center"/>
          </w:tcPr>
          <w:p w:rsidR="008F0647"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8F0647" w:rsidRDefault="008F0647"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8F0647" w:rsidRDefault="005F5E3F" w:rsidP="002E7263">
            <w:pPr>
              <w:jc w:val="right"/>
              <w:rPr>
                <w:rFonts w:asciiTheme="minorHAnsi" w:hAnsiTheme="minorHAnsi"/>
                <w:b/>
                <w:sz w:val="20"/>
                <w:szCs w:val="20"/>
              </w:rPr>
            </w:pPr>
            <w:r>
              <w:rPr>
                <w:rFonts w:asciiTheme="minorHAnsi" w:hAnsiTheme="minorHAnsi"/>
                <w:b/>
                <w:sz w:val="20"/>
                <w:szCs w:val="20"/>
              </w:rPr>
              <w:t>2016</w:t>
            </w:r>
          </w:p>
        </w:tc>
        <w:tc>
          <w:tcPr>
            <w:tcW w:w="992" w:type="dxa"/>
            <w:tcBorders>
              <w:top w:val="single" w:sz="4" w:space="0" w:color="808080" w:themeColor="background1" w:themeShade="80"/>
            </w:tcBorders>
            <w:vAlign w:val="center"/>
          </w:tcPr>
          <w:p w:rsidR="008F0647" w:rsidRDefault="005F5E3F" w:rsidP="002E7263">
            <w:pPr>
              <w:jc w:val="right"/>
              <w:rPr>
                <w:rFonts w:asciiTheme="minorHAnsi" w:hAnsiTheme="minorHAnsi"/>
                <w:b/>
                <w:sz w:val="20"/>
                <w:szCs w:val="20"/>
              </w:rPr>
            </w:pPr>
            <w:r>
              <w:rPr>
                <w:rFonts w:asciiTheme="minorHAnsi" w:hAnsiTheme="minorHAnsi"/>
                <w:b/>
                <w:sz w:val="20"/>
                <w:szCs w:val="20"/>
              </w:rPr>
              <w:t>1542</w:t>
            </w:r>
          </w:p>
        </w:tc>
        <w:tc>
          <w:tcPr>
            <w:tcW w:w="939" w:type="dxa"/>
            <w:tcBorders>
              <w:top w:val="single" w:sz="4" w:space="0" w:color="808080" w:themeColor="background1" w:themeShade="80"/>
            </w:tcBorders>
            <w:vAlign w:val="center"/>
          </w:tcPr>
          <w:p w:rsidR="008F0647" w:rsidRDefault="005F5E3F" w:rsidP="002E7263">
            <w:pPr>
              <w:jc w:val="right"/>
              <w:rPr>
                <w:rFonts w:asciiTheme="minorHAnsi" w:hAnsiTheme="minorHAnsi"/>
                <w:b/>
                <w:sz w:val="20"/>
                <w:szCs w:val="20"/>
              </w:rPr>
            </w:pPr>
            <w:r>
              <w:rPr>
                <w:rFonts w:asciiTheme="minorHAnsi" w:hAnsiTheme="minorHAnsi"/>
                <w:b/>
                <w:sz w:val="20"/>
                <w:szCs w:val="20"/>
              </w:rPr>
              <w:t>1496</w:t>
            </w:r>
          </w:p>
        </w:tc>
        <w:tc>
          <w:tcPr>
            <w:tcW w:w="904" w:type="dxa"/>
            <w:tcBorders>
              <w:top w:val="single" w:sz="4" w:space="0" w:color="808080" w:themeColor="background1" w:themeShade="80"/>
            </w:tcBorders>
            <w:vAlign w:val="center"/>
          </w:tcPr>
          <w:p w:rsidR="008F0647" w:rsidRDefault="005F5E3F" w:rsidP="002E7263">
            <w:pPr>
              <w:jc w:val="right"/>
              <w:rPr>
                <w:rFonts w:asciiTheme="minorHAnsi" w:hAnsiTheme="minorHAnsi"/>
                <w:b/>
                <w:sz w:val="20"/>
                <w:szCs w:val="20"/>
              </w:rPr>
            </w:pPr>
            <w:r>
              <w:rPr>
                <w:rFonts w:asciiTheme="minorHAnsi" w:hAnsiTheme="minorHAnsi"/>
                <w:b/>
                <w:sz w:val="20"/>
                <w:szCs w:val="20"/>
              </w:rPr>
              <w:t>97.0</w:t>
            </w:r>
          </w:p>
        </w:tc>
        <w:tc>
          <w:tcPr>
            <w:tcW w:w="992" w:type="dxa"/>
            <w:tcBorders>
              <w:top w:val="single" w:sz="4" w:space="0" w:color="808080" w:themeColor="background1" w:themeShade="80"/>
            </w:tcBorders>
            <w:vAlign w:val="center"/>
          </w:tcPr>
          <w:p w:rsidR="008F0647" w:rsidRDefault="005F5E3F" w:rsidP="002E7263">
            <w:pPr>
              <w:jc w:val="right"/>
              <w:rPr>
                <w:rFonts w:asciiTheme="minorHAnsi" w:hAnsiTheme="minorHAnsi"/>
                <w:b/>
                <w:sz w:val="20"/>
                <w:szCs w:val="20"/>
              </w:rPr>
            </w:pPr>
            <w:r>
              <w:rPr>
                <w:rFonts w:asciiTheme="minorHAnsi" w:hAnsiTheme="minorHAnsi"/>
                <w:b/>
                <w:sz w:val="20"/>
                <w:szCs w:val="20"/>
              </w:rPr>
              <w:t>1507</w:t>
            </w:r>
          </w:p>
        </w:tc>
        <w:tc>
          <w:tcPr>
            <w:tcW w:w="993" w:type="dxa"/>
            <w:tcBorders>
              <w:top w:val="single" w:sz="4" w:space="0" w:color="808080" w:themeColor="background1" w:themeShade="80"/>
            </w:tcBorders>
            <w:vAlign w:val="center"/>
          </w:tcPr>
          <w:p w:rsidR="008F0647" w:rsidRDefault="005F5E3F" w:rsidP="002E7263">
            <w:pPr>
              <w:jc w:val="right"/>
              <w:rPr>
                <w:rFonts w:asciiTheme="minorHAnsi" w:hAnsiTheme="minorHAnsi"/>
                <w:b/>
                <w:sz w:val="20"/>
                <w:szCs w:val="20"/>
              </w:rPr>
            </w:pPr>
            <w:r>
              <w:rPr>
                <w:rFonts w:asciiTheme="minorHAnsi" w:hAnsiTheme="minorHAnsi"/>
                <w:b/>
                <w:sz w:val="20"/>
                <w:szCs w:val="20"/>
              </w:rPr>
              <w:t>97.7</w:t>
            </w:r>
          </w:p>
        </w:tc>
        <w:tc>
          <w:tcPr>
            <w:tcW w:w="992" w:type="dxa"/>
            <w:tcBorders>
              <w:top w:val="single" w:sz="4" w:space="0" w:color="808080" w:themeColor="background1" w:themeShade="80"/>
            </w:tcBorders>
            <w:vAlign w:val="center"/>
          </w:tcPr>
          <w:p w:rsidR="008F0647" w:rsidRDefault="005F5E3F" w:rsidP="002E7263">
            <w:pPr>
              <w:jc w:val="right"/>
              <w:rPr>
                <w:rFonts w:asciiTheme="minorHAnsi" w:hAnsiTheme="minorHAnsi"/>
                <w:b/>
                <w:sz w:val="20"/>
                <w:szCs w:val="20"/>
              </w:rPr>
            </w:pPr>
            <w:r>
              <w:rPr>
                <w:rFonts w:asciiTheme="minorHAnsi" w:hAnsiTheme="minorHAnsi"/>
                <w:b/>
                <w:sz w:val="20"/>
                <w:szCs w:val="20"/>
              </w:rPr>
              <w:t>0</w:t>
            </w:r>
          </w:p>
        </w:tc>
        <w:tc>
          <w:tcPr>
            <w:tcW w:w="850" w:type="dxa"/>
            <w:tcBorders>
              <w:top w:val="single" w:sz="4" w:space="0" w:color="808080" w:themeColor="background1" w:themeShade="80"/>
            </w:tcBorders>
            <w:vAlign w:val="center"/>
          </w:tcPr>
          <w:p w:rsidR="008F0647" w:rsidRDefault="005F5E3F" w:rsidP="002E7263">
            <w:pPr>
              <w:jc w:val="right"/>
              <w:rPr>
                <w:rFonts w:asciiTheme="minorHAnsi" w:hAnsiTheme="minorHAnsi"/>
                <w:b/>
                <w:sz w:val="20"/>
                <w:szCs w:val="20"/>
              </w:rPr>
            </w:pPr>
            <w:r>
              <w:rPr>
                <w:rFonts w:asciiTheme="minorHAnsi" w:hAnsiTheme="minorHAnsi"/>
                <w:b/>
                <w:sz w:val="20"/>
                <w:szCs w:val="20"/>
              </w:rPr>
              <w:t>0.0</w:t>
            </w:r>
          </w:p>
        </w:tc>
        <w:tc>
          <w:tcPr>
            <w:tcW w:w="903" w:type="dxa"/>
            <w:tcBorders>
              <w:top w:val="single" w:sz="4" w:space="0" w:color="808080" w:themeColor="background1" w:themeShade="80"/>
            </w:tcBorders>
            <w:vAlign w:val="center"/>
          </w:tcPr>
          <w:p w:rsidR="008F0647" w:rsidRDefault="005F5E3F" w:rsidP="002E7263">
            <w:pPr>
              <w:jc w:val="right"/>
              <w:rPr>
                <w:rFonts w:asciiTheme="minorHAnsi" w:hAnsiTheme="minorHAnsi"/>
                <w:b/>
                <w:sz w:val="20"/>
                <w:szCs w:val="20"/>
              </w:rPr>
            </w:pPr>
            <w:r>
              <w:rPr>
                <w:rFonts w:asciiTheme="minorHAnsi" w:hAnsiTheme="minorHAnsi"/>
                <w:b/>
                <w:sz w:val="20"/>
                <w:szCs w:val="20"/>
              </w:rPr>
              <w:t>35</w:t>
            </w:r>
          </w:p>
        </w:tc>
        <w:tc>
          <w:tcPr>
            <w:tcW w:w="940" w:type="dxa"/>
            <w:tcBorders>
              <w:top w:val="single" w:sz="4" w:space="0" w:color="808080" w:themeColor="background1" w:themeShade="80"/>
            </w:tcBorders>
            <w:vAlign w:val="center"/>
          </w:tcPr>
          <w:p w:rsidR="008F0647" w:rsidRDefault="005F5E3F" w:rsidP="002E7263">
            <w:pPr>
              <w:jc w:val="right"/>
              <w:rPr>
                <w:rFonts w:asciiTheme="minorHAnsi" w:hAnsiTheme="minorHAnsi"/>
                <w:b/>
                <w:sz w:val="20"/>
                <w:szCs w:val="20"/>
              </w:rPr>
            </w:pPr>
            <w:r>
              <w:rPr>
                <w:rFonts w:asciiTheme="minorHAnsi" w:hAnsiTheme="minorHAnsi"/>
                <w:b/>
                <w:sz w:val="20"/>
                <w:szCs w:val="20"/>
              </w:rPr>
              <w:t>2.3</w:t>
            </w:r>
          </w:p>
        </w:tc>
      </w:tr>
      <w:tr w:rsidR="008F0647" w:rsidTr="005F5E3F">
        <w:trPr>
          <w:cantSplit/>
          <w:trHeight w:val="425"/>
        </w:trPr>
        <w:tc>
          <w:tcPr>
            <w:tcW w:w="426" w:type="dxa"/>
            <w:vMerge/>
            <w:tcBorders>
              <w:top w:val="single" w:sz="4" w:space="0" w:color="808080" w:themeColor="background1" w:themeShade="80"/>
            </w:tcBorders>
            <w:textDirection w:val="btLr"/>
            <w:vAlign w:val="center"/>
          </w:tcPr>
          <w:p w:rsidR="008F0647"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8F0647" w:rsidRDefault="008F0647"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8F0647" w:rsidRDefault="005F5E3F" w:rsidP="002E7263">
            <w:pPr>
              <w:jc w:val="right"/>
              <w:rPr>
                <w:rFonts w:asciiTheme="minorHAnsi" w:hAnsiTheme="minorHAnsi"/>
                <w:b/>
                <w:sz w:val="20"/>
                <w:szCs w:val="20"/>
              </w:rPr>
            </w:pPr>
            <w:r>
              <w:rPr>
                <w:rFonts w:asciiTheme="minorHAnsi" w:hAnsiTheme="minorHAnsi"/>
                <w:b/>
                <w:sz w:val="20"/>
                <w:szCs w:val="20"/>
              </w:rPr>
              <w:t>2017</w:t>
            </w:r>
          </w:p>
        </w:tc>
        <w:tc>
          <w:tcPr>
            <w:tcW w:w="992" w:type="dxa"/>
            <w:tcBorders>
              <w:top w:val="single" w:sz="4" w:space="0" w:color="808080" w:themeColor="background1" w:themeShade="80"/>
            </w:tcBorders>
            <w:vAlign w:val="center"/>
          </w:tcPr>
          <w:p w:rsidR="008F0647" w:rsidRDefault="005F5E3F" w:rsidP="002E7263">
            <w:pPr>
              <w:jc w:val="right"/>
              <w:rPr>
                <w:rFonts w:asciiTheme="minorHAnsi" w:hAnsiTheme="minorHAnsi"/>
                <w:b/>
                <w:sz w:val="20"/>
                <w:szCs w:val="20"/>
              </w:rPr>
            </w:pPr>
            <w:r>
              <w:rPr>
                <w:rFonts w:asciiTheme="minorHAnsi" w:hAnsiTheme="minorHAnsi"/>
                <w:b/>
                <w:sz w:val="20"/>
                <w:szCs w:val="20"/>
              </w:rPr>
              <w:t>1598</w:t>
            </w:r>
          </w:p>
        </w:tc>
        <w:tc>
          <w:tcPr>
            <w:tcW w:w="939" w:type="dxa"/>
            <w:tcBorders>
              <w:top w:val="single" w:sz="4" w:space="0" w:color="808080" w:themeColor="background1" w:themeShade="80"/>
            </w:tcBorders>
            <w:vAlign w:val="center"/>
          </w:tcPr>
          <w:p w:rsidR="008F0647" w:rsidRDefault="005F5E3F" w:rsidP="002E7263">
            <w:pPr>
              <w:jc w:val="right"/>
              <w:rPr>
                <w:rFonts w:asciiTheme="minorHAnsi" w:hAnsiTheme="minorHAnsi"/>
                <w:b/>
                <w:sz w:val="20"/>
                <w:szCs w:val="20"/>
              </w:rPr>
            </w:pPr>
            <w:r>
              <w:rPr>
                <w:rFonts w:asciiTheme="minorHAnsi" w:hAnsiTheme="minorHAnsi"/>
                <w:b/>
                <w:sz w:val="20"/>
                <w:szCs w:val="20"/>
              </w:rPr>
              <w:t>1533</w:t>
            </w:r>
          </w:p>
        </w:tc>
        <w:tc>
          <w:tcPr>
            <w:tcW w:w="904" w:type="dxa"/>
            <w:tcBorders>
              <w:top w:val="single" w:sz="4" w:space="0" w:color="808080" w:themeColor="background1" w:themeShade="80"/>
            </w:tcBorders>
            <w:vAlign w:val="center"/>
          </w:tcPr>
          <w:p w:rsidR="008F0647" w:rsidRDefault="005F5E3F" w:rsidP="002E7263">
            <w:pPr>
              <w:jc w:val="right"/>
              <w:rPr>
                <w:rFonts w:asciiTheme="minorHAnsi" w:hAnsiTheme="minorHAnsi"/>
                <w:b/>
                <w:sz w:val="20"/>
                <w:szCs w:val="20"/>
              </w:rPr>
            </w:pPr>
            <w:r>
              <w:rPr>
                <w:rFonts w:asciiTheme="minorHAnsi" w:hAnsiTheme="minorHAnsi"/>
                <w:b/>
                <w:sz w:val="20"/>
                <w:szCs w:val="20"/>
              </w:rPr>
              <w:t>95.9</w:t>
            </w:r>
          </w:p>
        </w:tc>
        <w:tc>
          <w:tcPr>
            <w:tcW w:w="992" w:type="dxa"/>
            <w:tcBorders>
              <w:top w:val="single" w:sz="4" w:space="0" w:color="808080" w:themeColor="background1" w:themeShade="80"/>
            </w:tcBorders>
            <w:vAlign w:val="center"/>
          </w:tcPr>
          <w:p w:rsidR="008F0647" w:rsidRDefault="005F5E3F" w:rsidP="002E7263">
            <w:pPr>
              <w:jc w:val="right"/>
              <w:rPr>
                <w:rFonts w:asciiTheme="minorHAnsi" w:hAnsiTheme="minorHAnsi"/>
                <w:b/>
                <w:sz w:val="20"/>
                <w:szCs w:val="20"/>
              </w:rPr>
            </w:pPr>
            <w:r>
              <w:rPr>
                <w:rFonts w:asciiTheme="minorHAnsi" w:hAnsiTheme="minorHAnsi"/>
                <w:b/>
                <w:sz w:val="20"/>
                <w:szCs w:val="20"/>
              </w:rPr>
              <w:t>1545</w:t>
            </w:r>
          </w:p>
        </w:tc>
        <w:tc>
          <w:tcPr>
            <w:tcW w:w="993" w:type="dxa"/>
            <w:tcBorders>
              <w:top w:val="single" w:sz="4" w:space="0" w:color="808080" w:themeColor="background1" w:themeShade="80"/>
            </w:tcBorders>
            <w:vAlign w:val="center"/>
          </w:tcPr>
          <w:p w:rsidR="008F0647" w:rsidRDefault="005F5E3F" w:rsidP="002E7263">
            <w:pPr>
              <w:jc w:val="right"/>
              <w:rPr>
                <w:rFonts w:asciiTheme="minorHAnsi" w:hAnsiTheme="minorHAnsi"/>
                <w:b/>
                <w:sz w:val="20"/>
                <w:szCs w:val="20"/>
              </w:rPr>
            </w:pPr>
            <w:r>
              <w:rPr>
                <w:rFonts w:asciiTheme="minorHAnsi" w:hAnsiTheme="minorHAnsi"/>
                <w:b/>
                <w:sz w:val="20"/>
                <w:szCs w:val="20"/>
              </w:rPr>
              <w:t>96.7</w:t>
            </w:r>
          </w:p>
        </w:tc>
        <w:tc>
          <w:tcPr>
            <w:tcW w:w="992" w:type="dxa"/>
            <w:tcBorders>
              <w:top w:val="single" w:sz="4" w:space="0" w:color="808080" w:themeColor="background1" w:themeShade="80"/>
            </w:tcBorders>
            <w:vAlign w:val="center"/>
          </w:tcPr>
          <w:p w:rsidR="008F0647" w:rsidRDefault="005F5E3F" w:rsidP="002E7263">
            <w:pPr>
              <w:jc w:val="right"/>
              <w:rPr>
                <w:rFonts w:asciiTheme="minorHAnsi" w:hAnsiTheme="minorHAnsi"/>
                <w:b/>
                <w:sz w:val="20"/>
                <w:szCs w:val="20"/>
              </w:rPr>
            </w:pPr>
            <w:r>
              <w:rPr>
                <w:rFonts w:asciiTheme="minorHAnsi" w:hAnsiTheme="minorHAnsi"/>
                <w:b/>
                <w:sz w:val="20"/>
                <w:szCs w:val="20"/>
              </w:rPr>
              <w:t>0</w:t>
            </w:r>
          </w:p>
        </w:tc>
        <w:tc>
          <w:tcPr>
            <w:tcW w:w="850" w:type="dxa"/>
            <w:tcBorders>
              <w:top w:val="single" w:sz="4" w:space="0" w:color="808080" w:themeColor="background1" w:themeShade="80"/>
            </w:tcBorders>
            <w:vAlign w:val="center"/>
          </w:tcPr>
          <w:p w:rsidR="008F0647" w:rsidRDefault="005F5E3F" w:rsidP="002E7263">
            <w:pPr>
              <w:jc w:val="right"/>
              <w:rPr>
                <w:rFonts w:asciiTheme="minorHAnsi" w:hAnsiTheme="minorHAnsi"/>
                <w:b/>
                <w:sz w:val="20"/>
                <w:szCs w:val="20"/>
              </w:rPr>
            </w:pPr>
            <w:r>
              <w:rPr>
                <w:rFonts w:asciiTheme="minorHAnsi" w:hAnsiTheme="minorHAnsi"/>
                <w:b/>
                <w:sz w:val="20"/>
                <w:szCs w:val="20"/>
              </w:rPr>
              <w:t>0.0</w:t>
            </w:r>
          </w:p>
        </w:tc>
        <w:tc>
          <w:tcPr>
            <w:tcW w:w="903" w:type="dxa"/>
            <w:tcBorders>
              <w:top w:val="single" w:sz="4" w:space="0" w:color="808080" w:themeColor="background1" w:themeShade="80"/>
            </w:tcBorders>
            <w:vAlign w:val="center"/>
          </w:tcPr>
          <w:p w:rsidR="008F0647" w:rsidRDefault="005F5E3F" w:rsidP="002E7263">
            <w:pPr>
              <w:jc w:val="right"/>
              <w:rPr>
                <w:rFonts w:asciiTheme="minorHAnsi" w:hAnsiTheme="minorHAnsi"/>
                <w:b/>
                <w:sz w:val="20"/>
                <w:szCs w:val="20"/>
              </w:rPr>
            </w:pPr>
            <w:r>
              <w:rPr>
                <w:rFonts w:asciiTheme="minorHAnsi" w:hAnsiTheme="minorHAnsi"/>
                <w:b/>
                <w:sz w:val="20"/>
                <w:szCs w:val="20"/>
              </w:rPr>
              <w:t>53</w:t>
            </w:r>
          </w:p>
        </w:tc>
        <w:tc>
          <w:tcPr>
            <w:tcW w:w="940" w:type="dxa"/>
            <w:tcBorders>
              <w:top w:val="single" w:sz="4" w:space="0" w:color="808080" w:themeColor="background1" w:themeShade="80"/>
            </w:tcBorders>
            <w:vAlign w:val="center"/>
          </w:tcPr>
          <w:p w:rsidR="008F0647" w:rsidRDefault="005F5E3F" w:rsidP="002E7263">
            <w:pPr>
              <w:jc w:val="right"/>
              <w:rPr>
                <w:rFonts w:asciiTheme="minorHAnsi" w:hAnsiTheme="minorHAnsi"/>
                <w:b/>
                <w:sz w:val="20"/>
                <w:szCs w:val="20"/>
              </w:rPr>
            </w:pPr>
            <w:r>
              <w:rPr>
                <w:rFonts w:asciiTheme="minorHAnsi" w:hAnsiTheme="minorHAnsi"/>
                <w:b/>
                <w:sz w:val="20"/>
                <w:szCs w:val="20"/>
              </w:rPr>
              <w:t>3.3</w:t>
            </w:r>
          </w:p>
        </w:tc>
      </w:tr>
    </w:tbl>
    <w:p w:rsidR="008F0647" w:rsidRDefault="00AB5271" w:rsidP="00ED3BDC">
      <w:pPr>
        <w:rPr>
          <w:rFonts w:asciiTheme="minorHAnsi" w:hAnsiTheme="minorHAnsi"/>
          <w:sz w:val="18"/>
          <w:szCs w:val="18"/>
        </w:rPr>
      </w:pPr>
      <w:r>
        <w:rPr>
          <w:rFonts w:asciiTheme="minorHAnsi" w:hAnsiTheme="minorHAnsi"/>
          <w:sz w:val="18"/>
          <w:szCs w:val="18"/>
        </w:rPr>
        <w:t>Note: the class “At least sufficient” also includes bathing waters which are of excellent quality, the sum of shares is therefore not 100%.</w:t>
      </w:r>
    </w:p>
    <w:p w:rsidR="008F0647" w:rsidRDefault="002B438D" w:rsidP="00ED3BDC">
      <w:r>
        <w:br w:type="page"/>
      </w:r>
    </w:p>
    <w:p w:rsidR="008F0647" w:rsidRDefault="002B438D" w:rsidP="00ED3BDC">
      <w:pPr>
        <w:rPr>
          <w:b/>
          <w:sz w:val="28"/>
        </w:rPr>
      </w:pPr>
      <w:r>
        <w:rPr>
          <w:b/>
          <w:sz w:val="28"/>
        </w:rPr>
        <w:lastRenderedPageBreak/>
        <w:t>Appendix 2: Bathing water quality map</w:t>
      </w:r>
    </w:p>
    <w:p w:rsidR="008F0647" w:rsidRDefault="008F0647" w:rsidP="00ED3BDC"/>
    <w:p w:rsidR="008F0647" w:rsidRDefault="00EE7A5D" w:rsidP="00ED3BDC">
      <w:r>
        <w:rPr>
          <w:noProof/>
          <w:lang w:eastAsia="en-GB"/>
        </w:rPr>
        <w:drawing>
          <wp:inline distT="0" distB="0" distL="0" distR="0">
            <wp:extent cx="6188710" cy="8008919"/>
            <wp:effectExtent l="0" t="0" r="2540" b="0"/>
            <wp:docPr id="4" name="Picture 4" descr="D:\Projekti\BWD\BWD 2017\National reports\GIS\map\NationalReports\PNG\20180420\GR_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jekti\BWD\BWD 2017\National reports\GIS\map\NationalReports\PNG\20180420\GR_2017.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88710" cy="8008919"/>
                    </a:xfrm>
                    <a:prstGeom prst="rect">
                      <a:avLst/>
                    </a:prstGeom>
                    <a:noFill/>
                    <a:ln>
                      <a:noFill/>
                    </a:ln>
                  </pic:spPr>
                </pic:pic>
              </a:graphicData>
            </a:graphic>
          </wp:inline>
        </w:drawing>
      </w:r>
      <w:bookmarkStart w:id="6" w:name="_GoBack"/>
      <w:bookmarkEnd w:id="6"/>
    </w:p>
    <w:sectPr w:rsidR="008F0647" w:rsidSect="00344240">
      <w:headerReference w:type="even" r:id="rId16"/>
      <w:headerReference w:type="default" r:id="rId17"/>
      <w:footerReference w:type="even" r:id="rId18"/>
      <w:footerReference w:type="default" r:id="rId19"/>
      <w:headerReference w:type="first" r:id="rId20"/>
      <w:footerReference w:type="first" r:id="rId21"/>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861" w:rsidRDefault="006F3861" w:rsidP="00ED3BDC">
      <w:r>
        <w:separator/>
      </w:r>
    </w:p>
  </w:endnote>
  <w:endnote w:type="continuationSeparator" w:id="0">
    <w:p w:rsidR="006F3861" w:rsidRDefault="006F3861" w:rsidP="00ED3BDC">
      <w:r>
        <w:continuationSeparator/>
      </w:r>
    </w:p>
  </w:endnote>
  <w:endnote w:type="continuationNotice" w:id="1">
    <w:p w:rsidR="006F3861" w:rsidRDefault="006F3861" w:rsidP="00ED3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Open San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647" w:rsidRDefault="008F06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647" w:rsidRDefault="008F06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647" w:rsidRDefault="008F06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861" w:rsidRDefault="006F3861" w:rsidP="00ED3BDC">
      <w:r>
        <w:separator/>
      </w:r>
    </w:p>
  </w:footnote>
  <w:footnote w:type="continuationSeparator" w:id="0">
    <w:p w:rsidR="006F3861" w:rsidRDefault="006F3861" w:rsidP="00ED3BDC">
      <w:r>
        <w:continuationSeparator/>
      </w:r>
    </w:p>
  </w:footnote>
  <w:footnote w:type="continuationNotice" w:id="1">
    <w:p w:rsidR="006F3861" w:rsidRDefault="006F3861" w:rsidP="00ED3BDC"/>
  </w:footnote>
  <w:footnote w:id="2">
    <w:p w:rsidR="0079462E" w:rsidRPr="008E7729" w:rsidRDefault="0079462E" w:rsidP="00AC4D8A">
      <w:pPr>
        <w:pStyle w:val="FootnoteText"/>
        <w:jc w:val="left"/>
      </w:pPr>
      <w:r>
        <w:rPr>
          <w:rStyle w:val="FootnoteReference"/>
        </w:rPr>
        <w:footnoteRef/>
      </w:r>
      <w:r>
        <w:t xml:space="preserve"> </w:t>
      </w:r>
      <w:r w:rsidR="00AC4D8A">
        <w:t xml:space="preserve">Directive </w:t>
      </w:r>
      <w:proofErr w:type="spellStart"/>
      <w:r w:rsidR="00AC4D8A" w:rsidRPr="00AC4D8A">
        <w:t>BWD</w:t>
      </w:r>
      <w:proofErr w:type="spellEnd"/>
      <w:r w:rsidR="00AC4D8A" w:rsidRPr="00AC4D8A">
        <w:t xml:space="preserve"> 2006</w:t>
      </w:r>
      <w:r w:rsidR="00AC4D8A">
        <w:t>/</w:t>
      </w:r>
      <w:r w:rsidR="00AC4D8A" w:rsidRPr="00AC4D8A">
        <w:t>7</w:t>
      </w:r>
      <w:r w:rsidR="00AC4D8A">
        <w:t>/</w:t>
      </w:r>
      <w:r w:rsidR="00AC4D8A" w:rsidRPr="00AC4D8A">
        <w:t>EC</w:t>
      </w:r>
      <w:r w:rsidR="00AC4D8A">
        <w:t>, a</w:t>
      </w:r>
      <w:r>
        <w:t xml:space="preserve">vailable at </w:t>
      </w:r>
      <w:hyperlink r:id="rId1" w:history="1">
        <w:r w:rsidRPr="002A1A5E">
          <w:rPr>
            <w:rStyle w:val="Hyperlink"/>
          </w:rPr>
          <w:t>http://eur-lex.europa.eu/LexUriServ/LexUriServ.do?uri=OJ:L:2006:064:0037:0051:EN:PDF</w:t>
        </w:r>
      </w:hyperlink>
    </w:p>
  </w:footnote>
  <w:footnote w:id="3">
    <w:p w:rsidR="00AA29C4" w:rsidRPr="00AA29C4" w:rsidRDefault="00AA29C4">
      <w:pPr>
        <w:pStyle w:val="FootnoteText"/>
        <w:rPr>
          <w:lang w:val="sl-SI"/>
        </w:rPr>
      </w:pPr>
      <w:r>
        <w:rPr>
          <w:rStyle w:val="FootnoteReference"/>
        </w:rPr>
        <w:footnoteRef/>
      </w:r>
      <w:r>
        <w:t xml:space="preserve"> </w:t>
      </w:r>
      <w:proofErr w:type="spellStart"/>
      <w:r>
        <w:rPr>
          <w:lang w:val="sl-SI"/>
        </w:rPr>
        <w:t>See</w:t>
      </w:r>
      <w:proofErr w:type="spellEnd"/>
      <w:r>
        <w:rPr>
          <w:lang w:val="sl-SI"/>
        </w:rPr>
        <w:t xml:space="preserve"> </w:t>
      </w:r>
      <w:proofErr w:type="spellStart"/>
      <w:r>
        <w:rPr>
          <w:lang w:val="sl-SI"/>
        </w:rPr>
        <w:t>the</w:t>
      </w:r>
      <w:proofErr w:type="spellEnd"/>
      <w:r>
        <w:rPr>
          <w:lang w:val="sl-SI"/>
        </w:rPr>
        <w:t xml:space="preserve"> </w:t>
      </w:r>
      <w:proofErr w:type="spellStart"/>
      <w:r>
        <w:rPr>
          <w:lang w:val="sl-SI"/>
        </w:rPr>
        <w:t>BWD</w:t>
      </w:r>
      <w:proofErr w:type="spellEnd"/>
      <w:r>
        <w:rPr>
          <w:lang w:val="sl-SI"/>
        </w:rPr>
        <w:t xml:space="preserve"> </w:t>
      </w:r>
      <w:proofErr w:type="spellStart"/>
      <w:r>
        <w:rPr>
          <w:lang w:val="sl-SI"/>
        </w:rPr>
        <w:t>Data</w:t>
      </w:r>
      <w:proofErr w:type="spellEnd"/>
      <w:r>
        <w:rPr>
          <w:lang w:val="sl-SI"/>
        </w:rPr>
        <w:t xml:space="preserve"> </w:t>
      </w:r>
      <w:proofErr w:type="spellStart"/>
      <w:r>
        <w:rPr>
          <w:lang w:val="sl-SI"/>
        </w:rPr>
        <w:t>Dictionary</w:t>
      </w:r>
      <w:proofErr w:type="spellEnd"/>
      <w:r>
        <w:rPr>
          <w:lang w:val="sl-SI"/>
        </w:rPr>
        <w:t xml:space="preserve"> </w:t>
      </w:r>
      <w:proofErr w:type="spellStart"/>
      <w:r>
        <w:rPr>
          <w:lang w:val="sl-SI"/>
        </w:rPr>
        <w:t>for</w:t>
      </w:r>
      <w:proofErr w:type="spellEnd"/>
      <w:r>
        <w:rPr>
          <w:lang w:val="sl-SI"/>
        </w:rPr>
        <w:t xml:space="preserve"> </w:t>
      </w:r>
      <w:proofErr w:type="spellStart"/>
      <w:r>
        <w:rPr>
          <w:lang w:val="sl-SI"/>
        </w:rPr>
        <w:t>detailed</w:t>
      </w:r>
      <w:proofErr w:type="spellEnd"/>
      <w:r>
        <w:rPr>
          <w:lang w:val="sl-SI"/>
        </w:rPr>
        <w:t xml:space="preserve"> </w:t>
      </w:r>
      <w:proofErr w:type="spellStart"/>
      <w:r>
        <w:rPr>
          <w:lang w:val="sl-SI"/>
        </w:rPr>
        <w:t>explanations</w:t>
      </w:r>
      <w:proofErr w:type="spellEnd"/>
      <w:r>
        <w:rPr>
          <w:lang w:val="sl-SI"/>
        </w:rPr>
        <w:t xml:space="preserve">: </w:t>
      </w:r>
      <w:hyperlink r:id="rId2" w:anchor="tables" w:history="1">
        <w:r w:rsidR="00141246">
          <w:rPr>
            <w:rStyle w:val="Hyperlink"/>
            <w:lang w:val="sl-SI"/>
          </w:rPr>
          <w:t>http://dd.eionet.europa.eu/datasets/3294#tables</w:t>
        </w:r>
      </w:hyperlink>
    </w:p>
  </w:footnote>
  <w:footnote w:id="4">
    <w:p w:rsidR="00E66938" w:rsidRPr="00E66938" w:rsidRDefault="00E66938">
      <w:pPr>
        <w:pStyle w:val="FootnoteText"/>
      </w:pPr>
      <w:r w:rsidRPr="00E66938">
        <w:rPr>
          <w:rStyle w:val="FootnoteReference"/>
        </w:rPr>
        <w:footnoteRef/>
      </w:r>
      <w:r w:rsidRPr="00E66938">
        <w:t xml:space="preserve"> The methodology used by the EC and </w:t>
      </w:r>
      <w:r>
        <w:t xml:space="preserve">the </w:t>
      </w:r>
      <w:proofErr w:type="spellStart"/>
      <w:r w:rsidRPr="00E66938">
        <w:t>EEA</w:t>
      </w:r>
      <w:proofErr w:type="spellEnd"/>
      <w:r w:rsidRPr="00E66938">
        <w:t xml:space="preserve"> is described</w:t>
      </w:r>
      <w:r>
        <w:t xml:space="preserve"> here</w:t>
      </w:r>
      <w:r w:rsidRPr="00E66938">
        <w:t>, while results of assessment by national authorities may differ</w:t>
      </w:r>
      <w:r w:rsidR="00141246">
        <w:t xml:space="preserve"> in individual cases.</w:t>
      </w:r>
    </w:p>
  </w:footnote>
  <w:footnote w:id="5">
    <w:p w:rsidR="003F038E" w:rsidRPr="007750DB" w:rsidRDefault="003F038E" w:rsidP="003F038E">
      <w:pPr>
        <w:pStyle w:val="FootnoteText"/>
        <w:rPr>
          <w:lang w:val="sl-SI"/>
        </w:rPr>
      </w:pPr>
      <w:r>
        <w:rPr>
          <w:rStyle w:val="FootnoteReference"/>
        </w:rPr>
        <w:footnoteRef/>
      </w:r>
      <w:r>
        <w:t xml:space="preserve"> </w:t>
      </w:r>
      <w:r>
        <w:rPr>
          <w:lang w:val="sl-SI"/>
        </w:rPr>
        <w:t xml:space="preserve">A </w:t>
      </w:r>
      <w:proofErr w:type="spellStart"/>
      <w:r>
        <w:rPr>
          <w:lang w:val="sl-SI"/>
        </w:rPr>
        <w:t>pre</w:t>
      </w:r>
      <w:proofErr w:type="spellEnd"/>
      <w:r>
        <w:rPr>
          <w:lang w:val="sl-SI"/>
        </w:rPr>
        <w:t>-</w:t>
      </w:r>
      <w:proofErr w:type="spellStart"/>
      <w:r>
        <w:rPr>
          <w:lang w:val="sl-SI"/>
        </w:rPr>
        <w:t>season</w:t>
      </w:r>
      <w:proofErr w:type="spellEnd"/>
      <w:r w:rsidR="00141246">
        <w:rPr>
          <w:lang w:val="sl-SI"/>
        </w:rPr>
        <w:t xml:space="preserve"> </w:t>
      </w:r>
      <w:proofErr w:type="spellStart"/>
      <w:r w:rsidR="00141246">
        <w:rPr>
          <w:lang w:val="sl-SI"/>
        </w:rPr>
        <w:t>sample</w:t>
      </w:r>
      <w:proofErr w:type="spellEnd"/>
      <w:r w:rsidR="00141246">
        <w:rPr>
          <w:lang w:val="sl-SI"/>
        </w:rPr>
        <w:t xml:space="preserve"> is </w:t>
      </w:r>
      <w:proofErr w:type="spellStart"/>
      <w:r w:rsidR="00141246">
        <w:rPr>
          <w:lang w:val="sl-SI"/>
        </w:rPr>
        <w:t>taken</w:t>
      </w:r>
      <w:proofErr w:type="spellEnd"/>
      <w:r w:rsidR="00141246">
        <w:rPr>
          <w:lang w:val="sl-SI"/>
        </w:rPr>
        <w:t xml:space="preserve"> </w:t>
      </w:r>
      <w:proofErr w:type="spellStart"/>
      <w:r w:rsidR="00141246">
        <w:rPr>
          <w:lang w:val="sl-SI"/>
        </w:rPr>
        <w:t>into</w:t>
      </w:r>
      <w:proofErr w:type="spellEnd"/>
      <w:r w:rsidR="00141246">
        <w:rPr>
          <w:lang w:val="sl-SI"/>
        </w:rPr>
        <w:t xml:space="preserve"> a sum </w:t>
      </w:r>
      <w:proofErr w:type="spellStart"/>
      <w:r>
        <w:rPr>
          <w:lang w:val="sl-SI"/>
        </w:rPr>
        <w:t>of</w:t>
      </w:r>
      <w:proofErr w:type="spellEnd"/>
      <w:r>
        <w:rPr>
          <w:lang w:val="sl-SI"/>
        </w:rPr>
        <w:t xml:space="preserve"> </w:t>
      </w:r>
      <w:proofErr w:type="spellStart"/>
      <w:r>
        <w:rPr>
          <w:lang w:val="sl-SI"/>
        </w:rPr>
        <w:t>samples</w:t>
      </w:r>
      <w:proofErr w:type="spellEnd"/>
      <w:r>
        <w:rPr>
          <w:lang w:val="sl-SI"/>
        </w:rPr>
        <w:t xml:space="preserve"> </w:t>
      </w:r>
      <w:proofErr w:type="spellStart"/>
      <w:r>
        <w:rPr>
          <w:lang w:val="sl-SI"/>
        </w:rPr>
        <w:t>per</w:t>
      </w:r>
      <w:proofErr w:type="spellEnd"/>
      <w:r>
        <w:rPr>
          <w:lang w:val="sl-SI"/>
        </w:rPr>
        <w:t xml:space="preserve"> </w:t>
      </w:r>
      <w:proofErr w:type="spellStart"/>
      <w:r>
        <w:rPr>
          <w:lang w:val="sl-SI"/>
        </w:rPr>
        <w:t>season</w:t>
      </w:r>
      <w:proofErr w:type="spellEnd"/>
      <w:r>
        <w:rPr>
          <w:lang w:val="sl-SI"/>
        </w:rPr>
        <w:t>.</w:t>
      </w:r>
    </w:p>
  </w:footnote>
  <w:footnote w:id="6">
    <w:p w:rsidR="003F038E" w:rsidRPr="007750DB" w:rsidRDefault="003F038E" w:rsidP="003F038E">
      <w:pPr>
        <w:pStyle w:val="FootnoteText"/>
      </w:pPr>
      <w:r w:rsidRPr="007750DB">
        <w:rPr>
          <w:rStyle w:val="FootnoteReference"/>
        </w:rPr>
        <w:footnoteRef/>
      </w:r>
      <w:r w:rsidRPr="007750DB">
        <w:t xml:space="preserve"> </w:t>
      </w:r>
      <w:r>
        <w:t xml:space="preserve">Three samples are sufficient </w:t>
      </w:r>
      <w:r w:rsidRPr="007750DB">
        <w:t xml:space="preserve">if the season does not exceed eight weeks or the region is </w:t>
      </w:r>
      <w:r>
        <w:t xml:space="preserve">subject to special geographical </w:t>
      </w:r>
      <w:r w:rsidRPr="007750DB">
        <w:t>constraints</w:t>
      </w:r>
      <w:r>
        <w:t>.</w:t>
      </w:r>
    </w:p>
  </w:footnote>
  <w:footnote w:id="7">
    <w:p w:rsidR="002B438D" w:rsidRPr="00E66938" w:rsidRDefault="002B438D" w:rsidP="003F038E">
      <w:pPr>
        <w:pStyle w:val="FootnoteText"/>
      </w:pPr>
      <w:r w:rsidRPr="00E66938">
        <w:rPr>
          <w:rStyle w:val="FootnoteReference"/>
        </w:rPr>
        <w:footnoteRef/>
      </w:r>
      <w:r w:rsidR="003F038E">
        <w:t xml:space="preserve"> If, for any reason, it is not possible to take the sample at the scheduled date, a delay of four extra days is allowed. Thus, the interval between two samples</w:t>
      </w:r>
      <w:r w:rsidR="00824F06">
        <w:t xml:space="preserve"> should not exceed 31 + 4 days</w:t>
      </w:r>
      <w:r w:rsidR="00FB5E4E" w:rsidRPr="00E66938">
        <w:t>.</w:t>
      </w:r>
    </w:p>
  </w:footnote>
  <w:footnote w:id="8">
    <w:p w:rsidR="002F24A6" w:rsidRPr="002F24A6" w:rsidRDefault="002F24A6" w:rsidP="006465BD">
      <w:pPr>
        <w:pStyle w:val="FootnoteText"/>
        <w:rPr>
          <w:lang w:val="sl-SI"/>
        </w:rPr>
      </w:pPr>
      <w:r>
        <w:rPr>
          <w:rStyle w:val="FootnoteReference"/>
        </w:rPr>
        <w:footnoteRef/>
      </w:r>
      <w:r>
        <w:t xml:space="preserve"> Not enough samples have been provided throughout the </w:t>
      </w:r>
      <w:r w:rsidR="006465BD">
        <w:t xml:space="preserve">last </w:t>
      </w:r>
      <w:r>
        <w:t>assessment period</w:t>
      </w:r>
      <w:r w:rsidR="006465BD">
        <w:t xml:space="preserve"> (the last four bathing seasons or, when applicable, the period specified in Article 4.2 or 4.4)</w:t>
      </w:r>
      <w:r>
        <w:t>.</w:t>
      </w:r>
    </w:p>
  </w:footnote>
  <w:footnote w:id="9">
    <w:p w:rsidR="002F24A6" w:rsidRPr="002F24A6" w:rsidRDefault="002F24A6">
      <w:pPr>
        <w:pStyle w:val="FootnoteText"/>
        <w:rPr>
          <w:lang w:val="sl-SI"/>
        </w:rPr>
      </w:pPr>
      <w:r>
        <w:rPr>
          <w:rStyle w:val="FootnoteReference"/>
        </w:rPr>
        <w:footnoteRef/>
      </w:r>
      <w:r>
        <w:t xml:space="preserve"> Classification not yet possible because bathing water is newly identified and a complete set of samples is not yet available.</w:t>
      </w:r>
    </w:p>
  </w:footnote>
  <w:footnote w:id="10">
    <w:p w:rsidR="00783E42" w:rsidRPr="00783E42" w:rsidRDefault="00783E42">
      <w:pPr>
        <w:pStyle w:val="FootnoteText"/>
        <w:rPr>
          <w:lang w:val="sl-SI"/>
        </w:rPr>
      </w:pPr>
      <w:r>
        <w:rPr>
          <w:rStyle w:val="FootnoteReference"/>
        </w:rPr>
        <w:footnoteRef/>
      </w:r>
      <w:r>
        <w:t xml:space="preserve"> C</w:t>
      </w:r>
      <w:r w:rsidRPr="00783E42">
        <w:t xml:space="preserve">lassification is not yet possible after changes </w:t>
      </w:r>
      <w:r w:rsidR="006465BD" w:rsidRPr="006465BD">
        <w:t>that are likely to affect the clas</w:t>
      </w:r>
      <w:r w:rsidR="006465BD">
        <w:t>sification of the bathing water</w:t>
      </w:r>
      <w:r w:rsidRPr="00783E42">
        <w:t>.</w:t>
      </w:r>
    </w:p>
  </w:footnote>
  <w:footnote w:id="11">
    <w:p w:rsidR="00783E42" w:rsidRPr="00783E42" w:rsidRDefault="00783E42" w:rsidP="00783E42">
      <w:pPr>
        <w:pStyle w:val="FootnoteText"/>
        <w:rPr>
          <w:lang w:val="sl-SI"/>
        </w:rPr>
      </w:pPr>
      <w:r>
        <w:rPr>
          <w:rStyle w:val="FootnoteReference"/>
        </w:rPr>
        <w:footnoteRef/>
      </w:r>
      <w:r>
        <w:t xml:space="preserve"> B</w:t>
      </w:r>
      <w:r w:rsidRPr="00783E42">
        <w:t>athing water is closed temporarily or throughout the bathing season.</w:t>
      </w:r>
    </w:p>
  </w:footnote>
  <w:footnote w:id="12">
    <w:p w:rsidR="002B438D" w:rsidRPr="005125FB" w:rsidRDefault="002B438D" w:rsidP="00ED3BDC">
      <w:pPr>
        <w:pStyle w:val="FootnoteText"/>
        <w:rPr>
          <w:lang w:val="sl-SI"/>
        </w:rPr>
      </w:pPr>
      <w:r>
        <w:rPr>
          <w:rStyle w:val="FootnoteReference"/>
        </w:rPr>
        <w:footnoteRef/>
      </w:r>
      <w:r w:rsidRPr="004349A7">
        <w:rPr>
          <w:lang w:val="sl-SI"/>
        </w:rPr>
        <w:t xml:space="preserve"> http://ec.europa.eu/environment/water/water-bathing/index_en.html</w:t>
      </w:r>
    </w:p>
  </w:footnote>
  <w:footnote w:id="13">
    <w:p w:rsidR="002B438D" w:rsidRPr="005125FB" w:rsidRDefault="002B438D" w:rsidP="00ED3BDC">
      <w:pPr>
        <w:pStyle w:val="FootnoteText"/>
        <w:rPr>
          <w:lang w:val="sl-SI"/>
        </w:rPr>
      </w:pPr>
      <w:r>
        <w:rPr>
          <w:rStyle w:val="FootnoteReference"/>
        </w:rPr>
        <w:footnoteRef/>
      </w:r>
      <w:r w:rsidRPr="004349A7">
        <w:rPr>
          <w:lang w:val="sl-SI"/>
        </w:rPr>
        <w:t xml:space="preserve"> http://www.eea.europa.eu/themes/water/status-and-monitoring/state-of-bathing-water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647" w:rsidRDefault="008F06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647" w:rsidRDefault="008F06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647" w:rsidRDefault="00344240" w:rsidP="00B67D96">
    <w:pPr>
      <w:pStyle w:val="Header"/>
      <w:jc w:val="right"/>
    </w:pPr>
    <w:r>
      <w:rPr>
        <w:noProof/>
        <w:lang w:eastAsia="en-GB"/>
      </w:rPr>
      <w:drawing>
        <wp:inline distT="0" distB="0" distL="0" distR="0" wp14:anchorId="34E4A0A9" wp14:editId="41F434BB">
          <wp:extent cx="1651813" cy="333464"/>
          <wp:effectExtent l="0" t="0" r="571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a_logo.png"/>
                  <pic:cNvPicPr/>
                </pic:nvPicPr>
                <pic:blipFill>
                  <a:blip r:embed="rId1">
                    <a:extLst>
                      <a:ext uri="{28A0092B-C50C-407E-A947-70E740481C1C}">
                        <a14:useLocalDpi xmlns:a14="http://schemas.microsoft.com/office/drawing/2010/main" val="0"/>
                      </a:ext>
                    </a:extLst>
                  </a:blip>
                  <a:stretch>
                    <a:fillRect/>
                  </a:stretch>
                </pic:blipFill>
                <pic:spPr>
                  <a:xfrm>
                    <a:off x="0" y="0"/>
                    <a:ext cx="1707832" cy="34477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47A7"/>
    <w:multiLevelType w:val="hybridMultilevel"/>
    <w:tmpl w:val="23920AA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nsid w:val="0CC93259"/>
    <w:multiLevelType w:val="hybridMultilevel"/>
    <w:tmpl w:val="7EC00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4DD623D"/>
    <w:multiLevelType w:val="hybridMultilevel"/>
    <w:tmpl w:val="0DB07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56B2C38"/>
    <w:multiLevelType w:val="multilevel"/>
    <w:tmpl w:val="726290F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3E366593"/>
    <w:multiLevelType w:val="hybridMultilevel"/>
    <w:tmpl w:val="1616BE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nsid w:val="551135C9"/>
    <w:multiLevelType w:val="hybridMultilevel"/>
    <w:tmpl w:val="43BC00EE"/>
    <w:lvl w:ilvl="0" w:tplc="2F3A36B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25E"/>
    <w:rsid w:val="000153A4"/>
    <w:rsid w:val="00015A0F"/>
    <w:rsid w:val="00021EB6"/>
    <w:rsid w:val="00025D01"/>
    <w:rsid w:val="0005324C"/>
    <w:rsid w:val="0005520C"/>
    <w:rsid w:val="00055752"/>
    <w:rsid w:val="00056EBA"/>
    <w:rsid w:val="00060CFD"/>
    <w:rsid w:val="0006170C"/>
    <w:rsid w:val="000667E7"/>
    <w:rsid w:val="00093F65"/>
    <w:rsid w:val="00093FAB"/>
    <w:rsid w:val="000A77A6"/>
    <w:rsid w:val="000B4B63"/>
    <w:rsid w:val="000C352B"/>
    <w:rsid w:val="000C3DE1"/>
    <w:rsid w:val="000D3B82"/>
    <w:rsid w:val="000D6220"/>
    <w:rsid w:val="000D6C96"/>
    <w:rsid w:val="000D7351"/>
    <w:rsid w:val="000E1961"/>
    <w:rsid w:val="001051F2"/>
    <w:rsid w:val="001111CA"/>
    <w:rsid w:val="001306A1"/>
    <w:rsid w:val="00140CEC"/>
    <w:rsid w:val="00141246"/>
    <w:rsid w:val="0014341B"/>
    <w:rsid w:val="00164618"/>
    <w:rsid w:val="00170F8A"/>
    <w:rsid w:val="00172541"/>
    <w:rsid w:val="001B33D3"/>
    <w:rsid w:val="001B7E1B"/>
    <w:rsid w:val="001C09AF"/>
    <w:rsid w:val="001C4A65"/>
    <w:rsid w:val="001C4C81"/>
    <w:rsid w:val="001D78E6"/>
    <w:rsid w:val="001E0FA9"/>
    <w:rsid w:val="001F33BA"/>
    <w:rsid w:val="00200316"/>
    <w:rsid w:val="00204A0D"/>
    <w:rsid w:val="002101CA"/>
    <w:rsid w:val="00210869"/>
    <w:rsid w:val="00212BC0"/>
    <w:rsid w:val="00224590"/>
    <w:rsid w:val="002318DD"/>
    <w:rsid w:val="00235D1F"/>
    <w:rsid w:val="00240BF5"/>
    <w:rsid w:val="002426B5"/>
    <w:rsid w:val="0024729D"/>
    <w:rsid w:val="00250809"/>
    <w:rsid w:val="00253DEA"/>
    <w:rsid w:val="0027066A"/>
    <w:rsid w:val="0027279D"/>
    <w:rsid w:val="00276B6A"/>
    <w:rsid w:val="00295F9D"/>
    <w:rsid w:val="002B3979"/>
    <w:rsid w:val="002B438D"/>
    <w:rsid w:val="002C7E2E"/>
    <w:rsid w:val="002D2093"/>
    <w:rsid w:val="002D2104"/>
    <w:rsid w:val="002D46AF"/>
    <w:rsid w:val="002D7764"/>
    <w:rsid w:val="002E4A86"/>
    <w:rsid w:val="002E7263"/>
    <w:rsid w:val="002F24A6"/>
    <w:rsid w:val="002F2FE2"/>
    <w:rsid w:val="00301AE5"/>
    <w:rsid w:val="00310B34"/>
    <w:rsid w:val="00311CC3"/>
    <w:rsid w:val="00313CEE"/>
    <w:rsid w:val="00315AD0"/>
    <w:rsid w:val="00317E45"/>
    <w:rsid w:val="003209E1"/>
    <w:rsid w:val="00320E5C"/>
    <w:rsid w:val="00323C99"/>
    <w:rsid w:val="00324B8C"/>
    <w:rsid w:val="00344240"/>
    <w:rsid w:val="00357197"/>
    <w:rsid w:val="00366401"/>
    <w:rsid w:val="00393B2B"/>
    <w:rsid w:val="003B6796"/>
    <w:rsid w:val="003C2EBF"/>
    <w:rsid w:val="003C5529"/>
    <w:rsid w:val="003C6DC7"/>
    <w:rsid w:val="003D2B0E"/>
    <w:rsid w:val="003D3E1D"/>
    <w:rsid w:val="003D4692"/>
    <w:rsid w:val="003E2BA0"/>
    <w:rsid w:val="003E4E0F"/>
    <w:rsid w:val="003F038E"/>
    <w:rsid w:val="003F7136"/>
    <w:rsid w:val="00400EAF"/>
    <w:rsid w:val="0040525E"/>
    <w:rsid w:val="004116FE"/>
    <w:rsid w:val="00414D93"/>
    <w:rsid w:val="00430B97"/>
    <w:rsid w:val="004349A7"/>
    <w:rsid w:val="004364EE"/>
    <w:rsid w:val="0043723F"/>
    <w:rsid w:val="00442644"/>
    <w:rsid w:val="00443C94"/>
    <w:rsid w:val="004509E3"/>
    <w:rsid w:val="00453C7E"/>
    <w:rsid w:val="00475122"/>
    <w:rsid w:val="00480CBD"/>
    <w:rsid w:val="00484359"/>
    <w:rsid w:val="004943BD"/>
    <w:rsid w:val="004A14B8"/>
    <w:rsid w:val="004B0655"/>
    <w:rsid w:val="004B2054"/>
    <w:rsid w:val="004C263A"/>
    <w:rsid w:val="004C7288"/>
    <w:rsid w:val="004D0272"/>
    <w:rsid w:val="004D61EC"/>
    <w:rsid w:val="004F59A6"/>
    <w:rsid w:val="00510149"/>
    <w:rsid w:val="00516E90"/>
    <w:rsid w:val="00521A9D"/>
    <w:rsid w:val="00531C54"/>
    <w:rsid w:val="00532950"/>
    <w:rsid w:val="005365BB"/>
    <w:rsid w:val="0054287C"/>
    <w:rsid w:val="00554AD2"/>
    <w:rsid w:val="00556C86"/>
    <w:rsid w:val="0056611C"/>
    <w:rsid w:val="00570839"/>
    <w:rsid w:val="00573983"/>
    <w:rsid w:val="00573DB6"/>
    <w:rsid w:val="0057740B"/>
    <w:rsid w:val="005813A9"/>
    <w:rsid w:val="00582FAC"/>
    <w:rsid w:val="00583ACF"/>
    <w:rsid w:val="00587D0D"/>
    <w:rsid w:val="0059024D"/>
    <w:rsid w:val="005A20A1"/>
    <w:rsid w:val="005A21F9"/>
    <w:rsid w:val="005B66CF"/>
    <w:rsid w:val="005C19AE"/>
    <w:rsid w:val="005C686A"/>
    <w:rsid w:val="005C7EEC"/>
    <w:rsid w:val="005D593C"/>
    <w:rsid w:val="005E2775"/>
    <w:rsid w:val="005E52E3"/>
    <w:rsid w:val="005F4FDB"/>
    <w:rsid w:val="005F5E3F"/>
    <w:rsid w:val="00602D54"/>
    <w:rsid w:val="0061463B"/>
    <w:rsid w:val="00626261"/>
    <w:rsid w:val="00630C6C"/>
    <w:rsid w:val="00635BE9"/>
    <w:rsid w:val="006375A5"/>
    <w:rsid w:val="006465BD"/>
    <w:rsid w:val="00651589"/>
    <w:rsid w:val="00655A4C"/>
    <w:rsid w:val="006618A7"/>
    <w:rsid w:val="00662BC1"/>
    <w:rsid w:val="006710BD"/>
    <w:rsid w:val="00675CE1"/>
    <w:rsid w:val="00686238"/>
    <w:rsid w:val="0068771D"/>
    <w:rsid w:val="0069096C"/>
    <w:rsid w:val="006938FC"/>
    <w:rsid w:val="00694047"/>
    <w:rsid w:val="006A49F4"/>
    <w:rsid w:val="006A6B69"/>
    <w:rsid w:val="006A7877"/>
    <w:rsid w:val="006B49EA"/>
    <w:rsid w:val="006B72BD"/>
    <w:rsid w:val="006C3336"/>
    <w:rsid w:val="006C4362"/>
    <w:rsid w:val="006C65D4"/>
    <w:rsid w:val="006D2330"/>
    <w:rsid w:val="006D2C77"/>
    <w:rsid w:val="006D4EFC"/>
    <w:rsid w:val="006D61B2"/>
    <w:rsid w:val="006E4C45"/>
    <w:rsid w:val="006E4DFA"/>
    <w:rsid w:val="006F3861"/>
    <w:rsid w:val="00715DE3"/>
    <w:rsid w:val="007205E7"/>
    <w:rsid w:val="007304B7"/>
    <w:rsid w:val="0073655B"/>
    <w:rsid w:val="007463C1"/>
    <w:rsid w:val="007468FD"/>
    <w:rsid w:val="007511DA"/>
    <w:rsid w:val="00757510"/>
    <w:rsid w:val="00762576"/>
    <w:rsid w:val="0077642F"/>
    <w:rsid w:val="007813CF"/>
    <w:rsid w:val="00781FA9"/>
    <w:rsid w:val="00783E42"/>
    <w:rsid w:val="00791B8F"/>
    <w:rsid w:val="007938D7"/>
    <w:rsid w:val="00793C4D"/>
    <w:rsid w:val="0079462E"/>
    <w:rsid w:val="007A359B"/>
    <w:rsid w:val="007A56F6"/>
    <w:rsid w:val="007A6258"/>
    <w:rsid w:val="007A7ECD"/>
    <w:rsid w:val="007C239B"/>
    <w:rsid w:val="007C553C"/>
    <w:rsid w:val="007C6E94"/>
    <w:rsid w:val="007C7F01"/>
    <w:rsid w:val="007D0034"/>
    <w:rsid w:val="007D207B"/>
    <w:rsid w:val="007D28CC"/>
    <w:rsid w:val="00806B91"/>
    <w:rsid w:val="00806EA6"/>
    <w:rsid w:val="00810450"/>
    <w:rsid w:val="00816920"/>
    <w:rsid w:val="00823FC0"/>
    <w:rsid w:val="00824F06"/>
    <w:rsid w:val="00832982"/>
    <w:rsid w:val="00835190"/>
    <w:rsid w:val="0084015A"/>
    <w:rsid w:val="008429A4"/>
    <w:rsid w:val="00847B2E"/>
    <w:rsid w:val="00852B10"/>
    <w:rsid w:val="00871660"/>
    <w:rsid w:val="008732EC"/>
    <w:rsid w:val="0087442C"/>
    <w:rsid w:val="00882DDB"/>
    <w:rsid w:val="008923C7"/>
    <w:rsid w:val="008928A8"/>
    <w:rsid w:val="00896223"/>
    <w:rsid w:val="008A3C2A"/>
    <w:rsid w:val="008B1FE5"/>
    <w:rsid w:val="008B5077"/>
    <w:rsid w:val="008C5978"/>
    <w:rsid w:val="008D1210"/>
    <w:rsid w:val="008D34E0"/>
    <w:rsid w:val="008F0647"/>
    <w:rsid w:val="00917359"/>
    <w:rsid w:val="00927269"/>
    <w:rsid w:val="00943EA1"/>
    <w:rsid w:val="009463A6"/>
    <w:rsid w:val="0095151B"/>
    <w:rsid w:val="00954462"/>
    <w:rsid w:val="00955DE5"/>
    <w:rsid w:val="00964BC7"/>
    <w:rsid w:val="009650CC"/>
    <w:rsid w:val="0097607A"/>
    <w:rsid w:val="00976907"/>
    <w:rsid w:val="0098406E"/>
    <w:rsid w:val="00986531"/>
    <w:rsid w:val="00993FEC"/>
    <w:rsid w:val="0099717D"/>
    <w:rsid w:val="009A3C16"/>
    <w:rsid w:val="009C4013"/>
    <w:rsid w:val="009C461D"/>
    <w:rsid w:val="009C6571"/>
    <w:rsid w:val="009D202E"/>
    <w:rsid w:val="009D27F4"/>
    <w:rsid w:val="009D437A"/>
    <w:rsid w:val="009D4C36"/>
    <w:rsid w:val="009E6682"/>
    <w:rsid w:val="009E7CAE"/>
    <w:rsid w:val="009F4F58"/>
    <w:rsid w:val="009F6F88"/>
    <w:rsid w:val="00A24E63"/>
    <w:rsid w:val="00A34909"/>
    <w:rsid w:val="00A45A95"/>
    <w:rsid w:val="00A4772B"/>
    <w:rsid w:val="00A52CA7"/>
    <w:rsid w:val="00A532B3"/>
    <w:rsid w:val="00A53DEF"/>
    <w:rsid w:val="00A5608E"/>
    <w:rsid w:val="00A57F42"/>
    <w:rsid w:val="00A66D1E"/>
    <w:rsid w:val="00A74BD1"/>
    <w:rsid w:val="00A76CE0"/>
    <w:rsid w:val="00A84F17"/>
    <w:rsid w:val="00A94941"/>
    <w:rsid w:val="00A94D93"/>
    <w:rsid w:val="00A955FB"/>
    <w:rsid w:val="00AA049E"/>
    <w:rsid w:val="00AA1842"/>
    <w:rsid w:val="00AA29C4"/>
    <w:rsid w:val="00AA406D"/>
    <w:rsid w:val="00AA4DE1"/>
    <w:rsid w:val="00AB4F3F"/>
    <w:rsid w:val="00AB5271"/>
    <w:rsid w:val="00AC4D8A"/>
    <w:rsid w:val="00AD057B"/>
    <w:rsid w:val="00AD6083"/>
    <w:rsid w:val="00AE137C"/>
    <w:rsid w:val="00AF3F74"/>
    <w:rsid w:val="00B0175D"/>
    <w:rsid w:val="00B10424"/>
    <w:rsid w:val="00B13EEA"/>
    <w:rsid w:val="00B14C10"/>
    <w:rsid w:val="00B1528B"/>
    <w:rsid w:val="00B20358"/>
    <w:rsid w:val="00B249A7"/>
    <w:rsid w:val="00B30A28"/>
    <w:rsid w:val="00B34A53"/>
    <w:rsid w:val="00B36BEE"/>
    <w:rsid w:val="00B47E8D"/>
    <w:rsid w:val="00B50D9D"/>
    <w:rsid w:val="00B51135"/>
    <w:rsid w:val="00B541B1"/>
    <w:rsid w:val="00B67D96"/>
    <w:rsid w:val="00B67E8D"/>
    <w:rsid w:val="00B74810"/>
    <w:rsid w:val="00B82438"/>
    <w:rsid w:val="00B853E1"/>
    <w:rsid w:val="00B85E2D"/>
    <w:rsid w:val="00B93612"/>
    <w:rsid w:val="00BA6D1B"/>
    <w:rsid w:val="00BB0009"/>
    <w:rsid w:val="00BB34CB"/>
    <w:rsid w:val="00BB3D34"/>
    <w:rsid w:val="00BD035D"/>
    <w:rsid w:val="00BD03BC"/>
    <w:rsid w:val="00BD3D64"/>
    <w:rsid w:val="00BE1851"/>
    <w:rsid w:val="00BE28BC"/>
    <w:rsid w:val="00BE5DE7"/>
    <w:rsid w:val="00C06B93"/>
    <w:rsid w:val="00C070FE"/>
    <w:rsid w:val="00C07C2C"/>
    <w:rsid w:val="00C156EF"/>
    <w:rsid w:val="00C17FA1"/>
    <w:rsid w:val="00C204A8"/>
    <w:rsid w:val="00C25234"/>
    <w:rsid w:val="00C275CE"/>
    <w:rsid w:val="00C42FEA"/>
    <w:rsid w:val="00C44972"/>
    <w:rsid w:val="00C53244"/>
    <w:rsid w:val="00C55D97"/>
    <w:rsid w:val="00C7787B"/>
    <w:rsid w:val="00C836FD"/>
    <w:rsid w:val="00C853FF"/>
    <w:rsid w:val="00C94B49"/>
    <w:rsid w:val="00CA20EB"/>
    <w:rsid w:val="00CA5808"/>
    <w:rsid w:val="00CB1000"/>
    <w:rsid w:val="00CB130C"/>
    <w:rsid w:val="00CC0656"/>
    <w:rsid w:val="00CC0E95"/>
    <w:rsid w:val="00CC0F5E"/>
    <w:rsid w:val="00CC53B7"/>
    <w:rsid w:val="00CC54E5"/>
    <w:rsid w:val="00CC6A15"/>
    <w:rsid w:val="00CC7AA9"/>
    <w:rsid w:val="00CD30B7"/>
    <w:rsid w:val="00CE34F3"/>
    <w:rsid w:val="00CE56E6"/>
    <w:rsid w:val="00CE770E"/>
    <w:rsid w:val="00CF6A94"/>
    <w:rsid w:val="00D02CB1"/>
    <w:rsid w:val="00D0519C"/>
    <w:rsid w:val="00D077E2"/>
    <w:rsid w:val="00D07EC6"/>
    <w:rsid w:val="00D10D4B"/>
    <w:rsid w:val="00D24583"/>
    <w:rsid w:val="00D3386A"/>
    <w:rsid w:val="00D34EAF"/>
    <w:rsid w:val="00D57F31"/>
    <w:rsid w:val="00D6333C"/>
    <w:rsid w:val="00D8144E"/>
    <w:rsid w:val="00D8207F"/>
    <w:rsid w:val="00D82CFF"/>
    <w:rsid w:val="00D91982"/>
    <w:rsid w:val="00D92099"/>
    <w:rsid w:val="00D92E28"/>
    <w:rsid w:val="00D95B8F"/>
    <w:rsid w:val="00DA1A9C"/>
    <w:rsid w:val="00DA557D"/>
    <w:rsid w:val="00DB231E"/>
    <w:rsid w:val="00DB3D3B"/>
    <w:rsid w:val="00DB5BCA"/>
    <w:rsid w:val="00DC09AC"/>
    <w:rsid w:val="00DC59E1"/>
    <w:rsid w:val="00DC7D17"/>
    <w:rsid w:val="00DD25E0"/>
    <w:rsid w:val="00DD6D1A"/>
    <w:rsid w:val="00DF00C7"/>
    <w:rsid w:val="00DF60B9"/>
    <w:rsid w:val="00DF6C7D"/>
    <w:rsid w:val="00E05C51"/>
    <w:rsid w:val="00E1024B"/>
    <w:rsid w:val="00E160F3"/>
    <w:rsid w:val="00E16122"/>
    <w:rsid w:val="00E21D48"/>
    <w:rsid w:val="00E32B90"/>
    <w:rsid w:val="00E33B22"/>
    <w:rsid w:val="00E35B9B"/>
    <w:rsid w:val="00E4025B"/>
    <w:rsid w:val="00E42137"/>
    <w:rsid w:val="00E44B9B"/>
    <w:rsid w:val="00E45534"/>
    <w:rsid w:val="00E60BC7"/>
    <w:rsid w:val="00E61218"/>
    <w:rsid w:val="00E6597A"/>
    <w:rsid w:val="00E66938"/>
    <w:rsid w:val="00E74923"/>
    <w:rsid w:val="00E846FF"/>
    <w:rsid w:val="00E8613B"/>
    <w:rsid w:val="00E9265E"/>
    <w:rsid w:val="00E95009"/>
    <w:rsid w:val="00EA7201"/>
    <w:rsid w:val="00EB4299"/>
    <w:rsid w:val="00EC573D"/>
    <w:rsid w:val="00EC73D5"/>
    <w:rsid w:val="00ED3BDC"/>
    <w:rsid w:val="00EE2FC8"/>
    <w:rsid w:val="00EE54C2"/>
    <w:rsid w:val="00EE7A5D"/>
    <w:rsid w:val="00EF0872"/>
    <w:rsid w:val="00F20ABF"/>
    <w:rsid w:val="00F22539"/>
    <w:rsid w:val="00F26577"/>
    <w:rsid w:val="00F30FE2"/>
    <w:rsid w:val="00F35730"/>
    <w:rsid w:val="00F36851"/>
    <w:rsid w:val="00F36AF6"/>
    <w:rsid w:val="00F527A0"/>
    <w:rsid w:val="00F54D5A"/>
    <w:rsid w:val="00F57F75"/>
    <w:rsid w:val="00F6062C"/>
    <w:rsid w:val="00F7028F"/>
    <w:rsid w:val="00F72887"/>
    <w:rsid w:val="00F90CBE"/>
    <w:rsid w:val="00F9162E"/>
    <w:rsid w:val="00F9341F"/>
    <w:rsid w:val="00FB2D7A"/>
    <w:rsid w:val="00FB5E4E"/>
    <w:rsid w:val="00FB7F98"/>
    <w:rsid w:val="00FC29EF"/>
    <w:rsid w:val="00FD16D6"/>
    <w:rsid w:val="00FD2F3F"/>
    <w:rsid w:val="00FD695C"/>
    <w:rsid w:val="00FE255E"/>
    <w:rsid w:val="00FE3A8E"/>
    <w:rsid w:val="00FE64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EBF"/>
    <w:pPr>
      <w:spacing w:after="0"/>
      <w:jc w:val="both"/>
    </w:pPr>
    <w:rPr>
      <w:rFonts w:asciiTheme="majorHAnsi" w:eastAsia="Calibri" w:hAnsiTheme="majorHAnsi" w:cs="Times New Roman"/>
      <w:lang w:val="en-GB"/>
    </w:rPr>
  </w:style>
  <w:style w:type="paragraph" w:styleId="Heading1">
    <w:name w:val="heading 1"/>
    <w:basedOn w:val="ListParagraph"/>
    <w:next w:val="Normal"/>
    <w:link w:val="Heading1Char"/>
    <w:uiPriority w:val="9"/>
    <w:qFormat/>
    <w:rsid w:val="0079462E"/>
    <w:pPr>
      <w:numPr>
        <w:numId w:val="1"/>
      </w:numPr>
      <w:spacing w:line="276" w:lineRule="auto"/>
      <w:ind w:left="567" w:hanging="567"/>
      <w:contextualSpacing/>
      <w:outlineLvl w:val="0"/>
    </w:pPr>
    <w:rPr>
      <w:rFonts w:ascii="Cambria" w:eastAsia="Calibri" w:hAnsi="Cambria"/>
      <w:b/>
      <w:sz w:val="28"/>
      <w:szCs w:val="22"/>
    </w:rPr>
  </w:style>
  <w:style w:type="paragraph" w:styleId="Heading2">
    <w:name w:val="heading 2"/>
    <w:basedOn w:val="ListParagraph"/>
    <w:next w:val="Normal"/>
    <w:link w:val="Heading2Char"/>
    <w:uiPriority w:val="9"/>
    <w:unhideWhenUsed/>
    <w:qFormat/>
    <w:rsid w:val="0079462E"/>
    <w:pPr>
      <w:numPr>
        <w:ilvl w:val="1"/>
        <w:numId w:val="1"/>
      </w:numPr>
      <w:spacing w:line="276" w:lineRule="auto"/>
      <w:ind w:left="567" w:hanging="567"/>
      <w:contextualSpacing/>
      <w:outlineLvl w:val="1"/>
    </w:pPr>
    <w:rPr>
      <w:rFonts w:ascii="Cambria" w:eastAsia="Calibri" w:hAnsi="Cambria"/>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62E"/>
    <w:rPr>
      <w:rFonts w:ascii="Cambria" w:eastAsia="Calibri" w:hAnsi="Cambria" w:cs="Times New Roman"/>
      <w:b/>
      <w:sz w:val="28"/>
      <w:lang w:val="en-GB"/>
    </w:rPr>
  </w:style>
  <w:style w:type="character" w:customStyle="1" w:styleId="Heading2Char">
    <w:name w:val="Heading 2 Char"/>
    <w:basedOn w:val="DefaultParagraphFont"/>
    <w:link w:val="Heading2"/>
    <w:uiPriority w:val="9"/>
    <w:rsid w:val="0079462E"/>
    <w:rPr>
      <w:rFonts w:ascii="Cambria" w:eastAsia="Calibri" w:hAnsi="Cambria" w:cs="Times New Roman"/>
      <w:b/>
      <w:sz w:val="24"/>
      <w:lang w:val="en-GB"/>
    </w:rPr>
  </w:style>
  <w:style w:type="character" w:styleId="Hyperlink">
    <w:name w:val="Hyperlink"/>
    <w:uiPriority w:val="99"/>
    <w:rsid w:val="0079462E"/>
    <w:rPr>
      <w:rFonts w:cs="Times New Roman"/>
      <w:color w:val="0000FF"/>
      <w:u w:val="single"/>
    </w:rPr>
  </w:style>
  <w:style w:type="paragraph" w:styleId="Footer">
    <w:name w:val="footer"/>
    <w:basedOn w:val="Normal"/>
    <w:link w:val="Foot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9462E"/>
    <w:rPr>
      <w:rFonts w:ascii="Times New Roman" w:eastAsia="Times New Roman" w:hAnsi="Times New Roman" w:cs="Times New Roman"/>
      <w:sz w:val="24"/>
      <w:szCs w:val="24"/>
      <w:lang w:val="en-GB"/>
    </w:rPr>
  </w:style>
  <w:style w:type="character" w:styleId="PageNumber">
    <w:name w:val="page number"/>
    <w:uiPriority w:val="99"/>
    <w:rsid w:val="0079462E"/>
    <w:rPr>
      <w:rFonts w:cs="Times New Roman"/>
    </w:rPr>
  </w:style>
  <w:style w:type="paragraph" w:styleId="Header">
    <w:name w:val="header"/>
    <w:basedOn w:val="Normal"/>
    <w:link w:val="Head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79462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9462E"/>
    <w:pPr>
      <w:spacing w:line="240" w:lineRule="auto"/>
      <w:ind w:left="72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79462E"/>
    <w:pPr>
      <w:spacing w:line="240" w:lineRule="auto"/>
    </w:pPr>
    <w:rPr>
      <w:sz w:val="20"/>
      <w:szCs w:val="20"/>
    </w:rPr>
  </w:style>
  <w:style w:type="character" w:customStyle="1" w:styleId="FootnoteTextChar">
    <w:name w:val="Footnote Text Char"/>
    <w:basedOn w:val="DefaultParagraphFont"/>
    <w:link w:val="FootnoteText"/>
    <w:uiPriority w:val="99"/>
    <w:rsid w:val="0079462E"/>
    <w:rPr>
      <w:rFonts w:ascii="Calibri" w:eastAsia="Calibri" w:hAnsi="Calibri" w:cs="Times New Roman"/>
      <w:sz w:val="20"/>
      <w:szCs w:val="20"/>
      <w:lang w:val="en-GB"/>
    </w:rPr>
  </w:style>
  <w:style w:type="character" w:styleId="FootnoteReference">
    <w:name w:val="footnote reference"/>
    <w:uiPriority w:val="99"/>
    <w:semiHidden/>
    <w:unhideWhenUsed/>
    <w:rsid w:val="0079462E"/>
    <w:rPr>
      <w:vertAlign w:val="superscript"/>
    </w:rPr>
  </w:style>
  <w:style w:type="paragraph" w:styleId="BalloonText">
    <w:name w:val="Balloon Text"/>
    <w:basedOn w:val="Normal"/>
    <w:link w:val="BalloonTextChar"/>
    <w:uiPriority w:val="99"/>
    <w:semiHidden/>
    <w:unhideWhenUsed/>
    <w:rsid w:val="007946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2E"/>
    <w:rPr>
      <w:rFonts w:ascii="Tahoma" w:eastAsia="Calibri" w:hAnsi="Tahoma" w:cs="Tahoma"/>
      <w:sz w:val="16"/>
      <w:szCs w:val="16"/>
      <w:lang w:val="fr-FR"/>
    </w:rPr>
  </w:style>
  <w:style w:type="paragraph" w:styleId="Caption">
    <w:name w:val="caption"/>
    <w:basedOn w:val="Normal"/>
    <w:next w:val="Normal"/>
    <w:uiPriority w:val="35"/>
    <w:unhideWhenUsed/>
    <w:qFormat/>
    <w:rsid w:val="00ED3BDC"/>
    <w:pPr>
      <w:spacing w:line="240" w:lineRule="auto"/>
    </w:pPr>
    <w:rPr>
      <w:rFonts w:asciiTheme="minorHAnsi" w:eastAsiaTheme="minorHAnsi" w:hAnsiTheme="minorHAnsi" w:cstheme="minorBidi"/>
      <w:b/>
      <w:bCs/>
      <w:sz w:val="18"/>
      <w:szCs w:val="18"/>
    </w:rPr>
  </w:style>
  <w:style w:type="table" w:styleId="TableGrid">
    <w:name w:val="Table Grid"/>
    <w:basedOn w:val="TableNormal"/>
    <w:uiPriority w:val="59"/>
    <w:rsid w:val="006D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7269"/>
    <w:pPr>
      <w:spacing w:after="0" w:line="240" w:lineRule="auto"/>
    </w:pPr>
    <w:rPr>
      <w:rFonts w:ascii="Calibri" w:eastAsia="Calibri" w:hAnsi="Calibri" w:cs="Times New Roman"/>
      <w:lang w:val="fr-FR"/>
    </w:rPr>
  </w:style>
  <w:style w:type="paragraph" w:customStyle="1" w:styleId="Pa24">
    <w:name w:val="Pa24"/>
    <w:basedOn w:val="Normal"/>
    <w:next w:val="Normal"/>
    <w:uiPriority w:val="99"/>
    <w:rsid w:val="00B853E1"/>
    <w:pPr>
      <w:autoSpaceDE w:val="0"/>
      <w:autoSpaceDN w:val="0"/>
      <w:adjustRightInd w:val="0"/>
      <w:spacing w:line="161" w:lineRule="atLeast"/>
      <w:jc w:val="left"/>
    </w:pPr>
    <w:rPr>
      <w:rFonts w:ascii="Open Sans" w:eastAsiaTheme="minorHAnsi" w:hAnsi="Open Sans" w:cstheme="minorBidi"/>
      <w:sz w:val="24"/>
      <w:szCs w:val="24"/>
    </w:rPr>
  </w:style>
  <w:style w:type="character" w:styleId="FollowedHyperlink">
    <w:name w:val="FollowedHyperlink"/>
    <w:basedOn w:val="DefaultParagraphFont"/>
    <w:uiPriority w:val="99"/>
    <w:semiHidden/>
    <w:unhideWhenUsed/>
    <w:rsid w:val="003E2BA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EBF"/>
    <w:pPr>
      <w:spacing w:after="0"/>
      <w:jc w:val="both"/>
    </w:pPr>
    <w:rPr>
      <w:rFonts w:asciiTheme="majorHAnsi" w:eastAsia="Calibri" w:hAnsiTheme="majorHAnsi" w:cs="Times New Roman"/>
      <w:lang w:val="en-GB"/>
    </w:rPr>
  </w:style>
  <w:style w:type="paragraph" w:styleId="Heading1">
    <w:name w:val="heading 1"/>
    <w:basedOn w:val="ListParagraph"/>
    <w:next w:val="Normal"/>
    <w:link w:val="Heading1Char"/>
    <w:uiPriority w:val="9"/>
    <w:qFormat/>
    <w:rsid w:val="0079462E"/>
    <w:pPr>
      <w:numPr>
        <w:numId w:val="1"/>
      </w:numPr>
      <w:spacing w:line="276" w:lineRule="auto"/>
      <w:ind w:left="567" w:hanging="567"/>
      <w:contextualSpacing/>
      <w:outlineLvl w:val="0"/>
    </w:pPr>
    <w:rPr>
      <w:rFonts w:ascii="Cambria" w:eastAsia="Calibri" w:hAnsi="Cambria"/>
      <w:b/>
      <w:sz w:val="28"/>
      <w:szCs w:val="22"/>
    </w:rPr>
  </w:style>
  <w:style w:type="paragraph" w:styleId="Heading2">
    <w:name w:val="heading 2"/>
    <w:basedOn w:val="ListParagraph"/>
    <w:next w:val="Normal"/>
    <w:link w:val="Heading2Char"/>
    <w:uiPriority w:val="9"/>
    <w:unhideWhenUsed/>
    <w:qFormat/>
    <w:rsid w:val="0079462E"/>
    <w:pPr>
      <w:numPr>
        <w:ilvl w:val="1"/>
        <w:numId w:val="1"/>
      </w:numPr>
      <w:spacing w:line="276" w:lineRule="auto"/>
      <w:ind w:left="567" w:hanging="567"/>
      <w:contextualSpacing/>
      <w:outlineLvl w:val="1"/>
    </w:pPr>
    <w:rPr>
      <w:rFonts w:ascii="Cambria" w:eastAsia="Calibri" w:hAnsi="Cambria"/>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62E"/>
    <w:rPr>
      <w:rFonts w:ascii="Cambria" w:eastAsia="Calibri" w:hAnsi="Cambria" w:cs="Times New Roman"/>
      <w:b/>
      <w:sz w:val="28"/>
      <w:lang w:val="en-GB"/>
    </w:rPr>
  </w:style>
  <w:style w:type="character" w:customStyle="1" w:styleId="Heading2Char">
    <w:name w:val="Heading 2 Char"/>
    <w:basedOn w:val="DefaultParagraphFont"/>
    <w:link w:val="Heading2"/>
    <w:uiPriority w:val="9"/>
    <w:rsid w:val="0079462E"/>
    <w:rPr>
      <w:rFonts w:ascii="Cambria" w:eastAsia="Calibri" w:hAnsi="Cambria" w:cs="Times New Roman"/>
      <w:b/>
      <w:sz w:val="24"/>
      <w:lang w:val="en-GB"/>
    </w:rPr>
  </w:style>
  <w:style w:type="character" w:styleId="Hyperlink">
    <w:name w:val="Hyperlink"/>
    <w:uiPriority w:val="99"/>
    <w:rsid w:val="0079462E"/>
    <w:rPr>
      <w:rFonts w:cs="Times New Roman"/>
      <w:color w:val="0000FF"/>
      <w:u w:val="single"/>
    </w:rPr>
  </w:style>
  <w:style w:type="paragraph" w:styleId="Footer">
    <w:name w:val="footer"/>
    <w:basedOn w:val="Normal"/>
    <w:link w:val="Foot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9462E"/>
    <w:rPr>
      <w:rFonts w:ascii="Times New Roman" w:eastAsia="Times New Roman" w:hAnsi="Times New Roman" w:cs="Times New Roman"/>
      <w:sz w:val="24"/>
      <w:szCs w:val="24"/>
      <w:lang w:val="en-GB"/>
    </w:rPr>
  </w:style>
  <w:style w:type="character" w:styleId="PageNumber">
    <w:name w:val="page number"/>
    <w:uiPriority w:val="99"/>
    <w:rsid w:val="0079462E"/>
    <w:rPr>
      <w:rFonts w:cs="Times New Roman"/>
    </w:rPr>
  </w:style>
  <w:style w:type="paragraph" w:styleId="Header">
    <w:name w:val="header"/>
    <w:basedOn w:val="Normal"/>
    <w:link w:val="Head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79462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9462E"/>
    <w:pPr>
      <w:spacing w:line="240" w:lineRule="auto"/>
      <w:ind w:left="72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79462E"/>
    <w:pPr>
      <w:spacing w:line="240" w:lineRule="auto"/>
    </w:pPr>
    <w:rPr>
      <w:sz w:val="20"/>
      <w:szCs w:val="20"/>
    </w:rPr>
  </w:style>
  <w:style w:type="character" w:customStyle="1" w:styleId="FootnoteTextChar">
    <w:name w:val="Footnote Text Char"/>
    <w:basedOn w:val="DefaultParagraphFont"/>
    <w:link w:val="FootnoteText"/>
    <w:uiPriority w:val="99"/>
    <w:rsid w:val="0079462E"/>
    <w:rPr>
      <w:rFonts w:ascii="Calibri" w:eastAsia="Calibri" w:hAnsi="Calibri" w:cs="Times New Roman"/>
      <w:sz w:val="20"/>
      <w:szCs w:val="20"/>
      <w:lang w:val="en-GB"/>
    </w:rPr>
  </w:style>
  <w:style w:type="character" w:styleId="FootnoteReference">
    <w:name w:val="footnote reference"/>
    <w:uiPriority w:val="99"/>
    <w:semiHidden/>
    <w:unhideWhenUsed/>
    <w:rsid w:val="0079462E"/>
    <w:rPr>
      <w:vertAlign w:val="superscript"/>
    </w:rPr>
  </w:style>
  <w:style w:type="paragraph" w:styleId="BalloonText">
    <w:name w:val="Balloon Text"/>
    <w:basedOn w:val="Normal"/>
    <w:link w:val="BalloonTextChar"/>
    <w:uiPriority w:val="99"/>
    <w:semiHidden/>
    <w:unhideWhenUsed/>
    <w:rsid w:val="007946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2E"/>
    <w:rPr>
      <w:rFonts w:ascii="Tahoma" w:eastAsia="Calibri" w:hAnsi="Tahoma" w:cs="Tahoma"/>
      <w:sz w:val="16"/>
      <w:szCs w:val="16"/>
      <w:lang w:val="fr-FR"/>
    </w:rPr>
  </w:style>
  <w:style w:type="paragraph" w:styleId="Caption">
    <w:name w:val="caption"/>
    <w:basedOn w:val="Normal"/>
    <w:next w:val="Normal"/>
    <w:uiPriority w:val="35"/>
    <w:unhideWhenUsed/>
    <w:qFormat/>
    <w:rsid w:val="00ED3BDC"/>
    <w:pPr>
      <w:spacing w:line="240" w:lineRule="auto"/>
    </w:pPr>
    <w:rPr>
      <w:rFonts w:asciiTheme="minorHAnsi" w:eastAsiaTheme="minorHAnsi" w:hAnsiTheme="minorHAnsi" w:cstheme="minorBidi"/>
      <w:b/>
      <w:bCs/>
      <w:sz w:val="18"/>
      <w:szCs w:val="18"/>
    </w:rPr>
  </w:style>
  <w:style w:type="table" w:styleId="TableGrid">
    <w:name w:val="Table Grid"/>
    <w:basedOn w:val="TableNormal"/>
    <w:uiPriority w:val="59"/>
    <w:rsid w:val="006D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7269"/>
    <w:pPr>
      <w:spacing w:after="0" w:line="240" w:lineRule="auto"/>
    </w:pPr>
    <w:rPr>
      <w:rFonts w:ascii="Calibri" w:eastAsia="Calibri" w:hAnsi="Calibri" w:cs="Times New Roman"/>
      <w:lang w:val="fr-FR"/>
    </w:rPr>
  </w:style>
  <w:style w:type="paragraph" w:customStyle="1" w:styleId="Pa24">
    <w:name w:val="Pa24"/>
    <w:basedOn w:val="Normal"/>
    <w:next w:val="Normal"/>
    <w:uiPriority w:val="99"/>
    <w:rsid w:val="00B853E1"/>
    <w:pPr>
      <w:autoSpaceDE w:val="0"/>
      <w:autoSpaceDN w:val="0"/>
      <w:adjustRightInd w:val="0"/>
      <w:spacing w:line="161" w:lineRule="atLeast"/>
      <w:jc w:val="left"/>
    </w:pPr>
    <w:rPr>
      <w:rFonts w:ascii="Open Sans" w:eastAsiaTheme="minorHAnsi" w:hAnsi="Open Sans" w:cstheme="minorBidi"/>
      <w:sz w:val="24"/>
      <w:szCs w:val="24"/>
    </w:rPr>
  </w:style>
  <w:style w:type="character" w:styleId="FollowedHyperlink">
    <w:name w:val="FollowedHyperlink"/>
    <w:basedOn w:val="DefaultParagraphFont"/>
    <w:uiPriority w:val="99"/>
    <w:semiHidden/>
    <w:unhideWhenUsed/>
    <w:rsid w:val="003E2B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61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europa.eu/environment/water/index_en.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bathingwaterprofiles.g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bathingwaterprofiles.gr/" TargetMode="External"/><Relationship Id="rId14" Type="http://schemas.openxmlformats.org/officeDocument/2006/relationships/hyperlink" Target="http://www.eea.europa.eu/themes/water/interactive/bathing/state-of-bathing-water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dd.eionet.europa.eu/datasets/3294" TargetMode="External"/><Relationship Id="rId1" Type="http://schemas.openxmlformats.org/officeDocument/2006/relationships/hyperlink" Target="http://eur-lex.europa.eu/LexUriServ/LexUriServ.do?uri=OJ:L:2006:064:0037:0051: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126835497261116E-2"/>
          <c:y val="5.691563607770448E-2"/>
          <c:w val="0.9046781397117567"/>
          <c:h val="0.72196342379045497"/>
        </c:manualLayout>
      </c:layout>
      <c:lineChart>
        <c:grouping val="standard"/>
        <c:varyColors val="0"/>
        <c:ser>
          <c:idx val="0"/>
          <c:order val="0"/>
          <c:tx>
            <c:strRef>
              <c:f>Feuil1!$B$1</c:f>
              <c:strCache>
                <c:ptCount val="1"/>
                <c:pt idx="0">
                  <c:v>Excellent</c:v>
                </c:pt>
              </c:strCache>
            </c:strRef>
          </c:tx>
          <c:spPr>
            <a:ln w="34925">
              <a:solidFill>
                <a:srgbClr val="0070C0"/>
              </a:solidFill>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Feuil1!$B$2:$B$28</c:f>
              <c:numCache>
                <c:formatCode>General</c:formatCode>
                <c:ptCount val="27"/>
                <c:pt idx="0">
                  <c:v>0.66700000000000004</c:v>
                </c:pt>
                <c:pt idx="1">
                  <c:v>0.90269999999999995</c:v>
                </c:pt>
                <c:pt idx="2">
                  <c:v>0.93600000000000005</c:v>
                </c:pt>
                <c:pt idx="3">
                  <c:v>0.90939999999999999</c:v>
                </c:pt>
                <c:pt idx="4">
                  <c:v>0.95540000000000003</c:v>
                </c:pt>
                <c:pt idx="5">
                  <c:v>0.95799999999999996</c:v>
                </c:pt>
                <c:pt idx="6">
                  <c:v>0.95</c:v>
                </c:pt>
                <c:pt idx="7">
                  <c:v>0.96130000000000004</c:v>
                </c:pt>
                <c:pt idx="8">
                  <c:v>0.95809999999999995</c:v>
                </c:pt>
                <c:pt idx="9">
                  <c:v>0.94989999999999997</c:v>
                </c:pt>
                <c:pt idx="10">
                  <c:v>0.97140000000000004</c:v>
                </c:pt>
                <c:pt idx="11">
                  <c:v>0.97489999999999999</c:v>
                </c:pt>
                <c:pt idx="12">
                  <c:v>0.97050000000000003</c:v>
                </c:pt>
                <c:pt idx="13">
                  <c:v>0.97609999999999997</c:v>
                </c:pt>
                <c:pt idx="14">
                  <c:v>0.98060000000000003</c:v>
                </c:pt>
                <c:pt idx="15">
                  <c:v>0.96870000000000001</c:v>
                </c:pt>
                <c:pt idx="16">
                  <c:v>0.95509999999999995</c:v>
                </c:pt>
                <c:pt idx="17">
                  <c:v>0.97650000000000003</c:v>
                </c:pt>
                <c:pt idx="18">
                  <c:v>0.99760000000000004</c:v>
                </c:pt>
                <c:pt idx="19">
                  <c:v>0.94179999999999997</c:v>
                </c:pt>
                <c:pt idx="20">
                  <c:v>0.94699999999999995</c:v>
                </c:pt>
                <c:pt idx="21">
                  <c:v>0.93440000000000001</c:v>
                </c:pt>
                <c:pt idx="22">
                  <c:v>0.93410000000000004</c:v>
                </c:pt>
                <c:pt idx="23">
                  <c:v>0.97070000000000001</c:v>
                </c:pt>
                <c:pt idx="24">
                  <c:v>0.97209999999999996</c:v>
                </c:pt>
                <c:pt idx="25">
                  <c:v>0.9708</c:v>
                </c:pt>
                <c:pt idx="26">
                  <c:v>0.95989999999999998</c:v>
                </c:pt>
              </c:numCache>
            </c:numRef>
          </c:val>
          <c:smooth val="0"/>
        </c:ser>
        <c:ser>
          <c:idx val="1"/>
          <c:order val="1"/>
          <c:tx>
            <c:strRef>
              <c:f>Feuil1!$C$1</c:f>
              <c:strCache>
                <c:ptCount val="1"/>
                <c:pt idx="0">
                  <c:v>At least sufficient</c:v>
                </c:pt>
              </c:strCache>
            </c:strRef>
          </c:tx>
          <c:spPr>
            <a:ln w="34925">
              <a:solidFill>
                <a:srgbClr val="00B050"/>
              </a:solidFill>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Feuil1!$C$2:$C$28</c:f>
              <c:numCache>
                <c:formatCode>General</c:formatCode>
                <c:ptCount val="27"/>
                <c:pt idx="0">
                  <c:v>0.7026</c:v>
                </c:pt>
                <c:pt idx="1">
                  <c:v>0.91849999999999998</c:v>
                </c:pt>
                <c:pt idx="2">
                  <c:v>0.96079999999999999</c:v>
                </c:pt>
                <c:pt idx="3">
                  <c:v>0.94769999999999999</c:v>
                </c:pt>
                <c:pt idx="4">
                  <c:v>0.97899999999999998</c:v>
                </c:pt>
                <c:pt idx="5">
                  <c:v>0.98580000000000001</c:v>
                </c:pt>
                <c:pt idx="6">
                  <c:v>0.98409999999999997</c:v>
                </c:pt>
                <c:pt idx="7">
                  <c:v>0.98670000000000002</c:v>
                </c:pt>
                <c:pt idx="8">
                  <c:v>0.98839999999999995</c:v>
                </c:pt>
                <c:pt idx="9">
                  <c:v>0.98760000000000003</c:v>
                </c:pt>
                <c:pt idx="10">
                  <c:v>0.99360000000000004</c:v>
                </c:pt>
                <c:pt idx="11">
                  <c:v>0.999</c:v>
                </c:pt>
                <c:pt idx="12">
                  <c:v>0.999</c:v>
                </c:pt>
                <c:pt idx="13">
                  <c:v>0.99950000000000006</c:v>
                </c:pt>
                <c:pt idx="14">
                  <c:v>0.99950000000000006</c:v>
                </c:pt>
                <c:pt idx="15">
                  <c:v>0.99660000000000004</c:v>
                </c:pt>
                <c:pt idx="16">
                  <c:v>0.99509999999999998</c:v>
                </c:pt>
                <c:pt idx="17">
                  <c:v>0.99519999999999997</c:v>
                </c:pt>
                <c:pt idx="18">
                  <c:v>0.99919999999999998</c:v>
                </c:pt>
                <c:pt idx="19">
                  <c:v>1</c:v>
                </c:pt>
                <c:pt idx="20">
                  <c:v>0.99490000000000001</c:v>
                </c:pt>
                <c:pt idx="21">
                  <c:v>0.99719999999999998</c:v>
                </c:pt>
                <c:pt idx="22">
                  <c:v>0.99209999999999998</c:v>
                </c:pt>
                <c:pt idx="23">
                  <c:v>0.98570000000000002</c:v>
                </c:pt>
                <c:pt idx="24">
                  <c:v>0.97789999999999999</c:v>
                </c:pt>
                <c:pt idx="25">
                  <c:v>0.97729999999999995</c:v>
                </c:pt>
                <c:pt idx="26">
                  <c:v>0.96740000000000004</c:v>
                </c:pt>
              </c:numCache>
            </c:numRef>
          </c:val>
          <c:smooth val="0"/>
        </c:ser>
        <c:ser>
          <c:idx val="2"/>
          <c:order val="2"/>
          <c:tx>
            <c:strRef>
              <c:f>Feuil1!$D$1</c:f>
              <c:strCache>
                <c:ptCount val="1"/>
                <c:pt idx="0">
                  <c:v>Poor</c:v>
                </c:pt>
              </c:strCache>
            </c:strRef>
          </c:tx>
          <c:spPr>
            <a:ln w="34925">
              <a:solidFill>
                <a:srgbClr val="C00000"/>
              </a:solidFill>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Feuil1!$D$2:$D$28</c:f>
              <c:numCache>
                <c:formatCode>General</c:formatCode>
                <c:ptCount val="27"/>
                <c:pt idx="0">
                  <c:v>1.46E-2</c:v>
                </c:pt>
                <c:pt idx="1">
                  <c:v>2.58E-2</c:v>
                </c:pt>
                <c:pt idx="2">
                  <c:v>3.1199999999999999E-2</c:v>
                </c:pt>
                <c:pt idx="3">
                  <c:v>3.3599999999999998E-2</c:v>
                </c:pt>
                <c:pt idx="4">
                  <c:v>1.6400000000000001E-2</c:v>
                </c:pt>
                <c:pt idx="5">
                  <c:v>1.18E-2</c:v>
                </c:pt>
                <c:pt idx="6">
                  <c:v>1.41E-2</c:v>
                </c:pt>
                <c:pt idx="7">
                  <c:v>9.7999999999999997E-3</c:v>
                </c:pt>
                <c:pt idx="8">
                  <c:v>9.4000000000000004E-3</c:v>
                </c:pt>
                <c:pt idx="9">
                  <c:v>8.6E-3</c:v>
                </c:pt>
                <c:pt idx="10">
                  <c:v>6.4000000000000003E-3</c:v>
                </c:pt>
                <c:pt idx="11">
                  <c:v>1E-3</c:v>
                </c:pt>
                <c:pt idx="12">
                  <c:v>1E-3</c:v>
                </c:pt>
                <c:pt idx="13">
                  <c:v>5.0000000000000001E-4</c:v>
                </c:pt>
                <c:pt idx="14">
                  <c:v>5.0000000000000001E-4</c:v>
                </c:pt>
                <c:pt idx="15">
                  <c:v>0</c:v>
                </c:pt>
                <c:pt idx="16">
                  <c:v>0</c:v>
                </c:pt>
                <c:pt idx="17">
                  <c:v>1E-3</c:v>
                </c:pt>
                <c:pt idx="18">
                  <c:v>0</c:v>
                </c:pt>
                <c:pt idx="19">
                  <c:v>0</c:v>
                </c:pt>
                <c:pt idx="20">
                  <c:v>2.3E-3</c:v>
                </c:pt>
                <c:pt idx="21">
                  <c:v>2.8E-3</c:v>
                </c:pt>
                <c:pt idx="22">
                  <c:v>2.3E-3</c:v>
                </c:pt>
                <c:pt idx="23">
                  <c:v>0</c:v>
                </c:pt>
                <c:pt idx="24">
                  <c:v>0</c:v>
                </c:pt>
                <c:pt idx="25">
                  <c:v>0</c:v>
                </c:pt>
                <c:pt idx="26">
                  <c:v>0</c:v>
                </c:pt>
              </c:numCache>
            </c:numRef>
          </c:val>
          <c:smooth val="0"/>
        </c:ser>
        <c:ser>
          <c:idx val="3"/>
          <c:order val="3"/>
          <c:tx>
            <c:strRef>
              <c:f>Feuil1!$E$1</c:f>
              <c:strCache>
                <c:ptCount val="1"/>
                <c:pt idx="0">
                  <c:v>Quality classification not possible</c:v>
                </c:pt>
              </c:strCache>
            </c:strRef>
          </c:tx>
          <c:spPr>
            <a:ln w="31750">
              <a:solidFill>
                <a:schemeClr val="bg1">
                  <a:lumMod val="65000"/>
                </a:schemeClr>
              </a:solidFill>
              <a:prstDash val="solid"/>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Feuil1!$E$2:$E$28</c:f>
              <c:numCache>
                <c:formatCode>General</c:formatCode>
                <c:ptCount val="27"/>
                <c:pt idx="0">
                  <c:v>0.2828</c:v>
                </c:pt>
                <c:pt idx="1">
                  <c:v>5.57E-2</c:v>
                </c:pt>
                <c:pt idx="2">
                  <c:v>8.0000000000000002E-3</c:v>
                </c:pt>
                <c:pt idx="3">
                  <c:v>1.8700000000000001E-2</c:v>
                </c:pt>
                <c:pt idx="4">
                  <c:v>4.5999999999999999E-3</c:v>
                </c:pt>
                <c:pt idx="5">
                  <c:v>2.3999999999999998E-3</c:v>
                </c:pt>
                <c:pt idx="6">
                  <c:v>1.8E-3</c:v>
                </c:pt>
                <c:pt idx="7">
                  <c:v>3.5000000000000001E-3</c:v>
                </c:pt>
                <c:pt idx="8">
                  <c:v>2.2000000000000001E-3</c:v>
                </c:pt>
                <c:pt idx="9">
                  <c:v>3.8E-3</c:v>
                </c:pt>
                <c:pt idx="10">
                  <c:v>0</c:v>
                </c:pt>
                <c:pt idx="11">
                  <c:v>0</c:v>
                </c:pt>
                <c:pt idx="12">
                  <c:v>0</c:v>
                </c:pt>
                <c:pt idx="13">
                  <c:v>0</c:v>
                </c:pt>
                <c:pt idx="14">
                  <c:v>0</c:v>
                </c:pt>
                <c:pt idx="15">
                  <c:v>3.3999999999999998E-3</c:v>
                </c:pt>
                <c:pt idx="16">
                  <c:v>4.8999999999999998E-3</c:v>
                </c:pt>
                <c:pt idx="17">
                  <c:v>3.8E-3</c:v>
                </c:pt>
                <c:pt idx="18">
                  <c:v>8.0000000000000004E-4</c:v>
                </c:pt>
                <c:pt idx="19">
                  <c:v>0</c:v>
                </c:pt>
                <c:pt idx="20">
                  <c:v>2.8E-3</c:v>
                </c:pt>
                <c:pt idx="21">
                  <c:v>0</c:v>
                </c:pt>
                <c:pt idx="22">
                  <c:v>5.5999999999999999E-3</c:v>
                </c:pt>
                <c:pt idx="23">
                  <c:v>1.43E-2</c:v>
                </c:pt>
                <c:pt idx="24">
                  <c:v>2.2100000000000002E-2</c:v>
                </c:pt>
                <c:pt idx="25">
                  <c:v>2.2700000000000001E-2</c:v>
                </c:pt>
                <c:pt idx="26">
                  <c:v>3.2599999999999997E-2</c:v>
                </c:pt>
              </c:numCache>
            </c:numRef>
          </c:val>
          <c:smooth val="0"/>
        </c:ser>
        <c:dLbls>
          <c:showLegendKey val="0"/>
          <c:showVal val="0"/>
          <c:showCatName val="0"/>
          <c:showSerName val="0"/>
          <c:showPercent val="0"/>
          <c:showBubbleSize val="0"/>
        </c:dLbls>
        <c:marker val="1"/>
        <c:smooth val="0"/>
        <c:axId val="181374976"/>
        <c:axId val="181376512"/>
      </c:lineChart>
      <c:catAx>
        <c:axId val="181374976"/>
        <c:scaling>
          <c:orientation val="minMax"/>
        </c:scaling>
        <c:delete val="0"/>
        <c:axPos val="b"/>
        <c:numFmt formatCode="@" sourceLinked="0"/>
        <c:majorTickMark val="out"/>
        <c:minorTickMark val="none"/>
        <c:tickLblPos val="nextTo"/>
        <c:crossAx val="181376512"/>
        <c:crosses val="autoZero"/>
        <c:auto val="1"/>
        <c:lblAlgn val="ctr"/>
        <c:lblOffset val="100"/>
        <c:noMultiLvlLbl val="0"/>
      </c:catAx>
      <c:valAx>
        <c:axId val="181376512"/>
        <c:scaling>
          <c:orientation val="minMax"/>
          <c:max val="1"/>
        </c:scaling>
        <c:delete val="0"/>
        <c:axPos val="l"/>
        <c:majorGridlines>
          <c:spPr>
            <a:ln>
              <a:solidFill>
                <a:schemeClr val="tx1">
                  <a:alpha val="25000"/>
                </a:schemeClr>
              </a:solidFill>
            </a:ln>
          </c:spPr>
        </c:majorGridlines>
        <c:numFmt formatCode="0%" sourceLinked="0"/>
        <c:majorTickMark val="out"/>
        <c:minorTickMark val="none"/>
        <c:tickLblPos val="nextTo"/>
        <c:crossAx val="181374976"/>
        <c:crosses val="autoZero"/>
        <c:crossBetween val="between"/>
      </c:valAx>
    </c:plotArea>
    <c:legend>
      <c:legendPos val="b"/>
      <c:layout>
        <c:manualLayout>
          <c:xMode val="edge"/>
          <c:yMode val="edge"/>
          <c:x val="9.337190677827097E-3"/>
          <c:y val="0.89238253192575656"/>
          <c:w val="0.95875068011565145"/>
          <c:h val="0.1072381901966709"/>
        </c:manualLayout>
      </c:layout>
      <c:overlay val="0"/>
      <c:spPr>
        <a:noFill/>
        <a:ln>
          <a:noFill/>
        </a:ln>
      </c:spPr>
      <c:txPr>
        <a:bodyPr/>
        <a:lstStyle/>
        <a:p>
          <a:pPr>
            <a:defRPr sz="900"/>
          </a:pPr>
          <a:endParaRPr lang="en-US"/>
        </a:p>
      </c:txPr>
    </c:legend>
    <c:plotVisOnly val="1"/>
    <c:dispBlanksAs val="gap"/>
    <c:showDLblsOverMax val="0"/>
  </c:chart>
  <c:spPr>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8956163088309606E-2"/>
          <c:y val="5.691563607770448E-2"/>
          <c:w val="0.90558755961301296"/>
          <c:h val="0.7116616892849188"/>
        </c:manualLayout>
      </c:layout>
      <c:lineChart>
        <c:grouping val="standard"/>
        <c:varyColors val="0"/>
        <c:ser>
          <c:idx val="0"/>
          <c:order val="0"/>
          <c:tx>
            <c:strRef>
              <c:f>Feuil1!$B$1</c:f>
              <c:strCache>
                <c:ptCount val="1"/>
                <c:pt idx="0">
                  <c:v>Excellent</c:v>
                </c:pt>
              </c:strCache>
            </c:strRef>
          </c:tx>
          <c:spPr>
            <a:ln w="34925">
              <a:solidFill>
                <a:srgbClr val="0070C0"/>
              </a:solidFill>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Feuil1!$B$2:$B$28</c:f>
              <c:numCache>
                <c:formatCode>General</c:formatCode>
                <c:ptCount val="27"/>
                <c:pt idx="0">
                  <c:v>0</c:v>
                </c:pt>
                <c:pt idx="1">
                  <c:v>0.75</c:v>
                </c:pt>
                <c:pt idx="2">
                  <c:v>0.5</c:v>
                </c:pt>
                <c:pt idx="3">
                  <c:v>0.25</c:v>
                </c:pt>
                <c:pt idx="4">
                  <c:v>0.5</c:v>
                </c:pt>
                <c:pt idx="5">
                  <c:v>0.25</c:v>
                </c:pt>
                <c:pt idx="6">
                  <c:v>0.25</c:v>
                </c:pt>
                <c:pt idx="7">
                  <c:v>0.75</c:v>
                </c:pt>
                <c:pt idx="8">
                  <c:v>0.25</c:v>
                </c:pt>
                <c:pt idx="9">
                  <c:v>1</c:v>
                </c:pt>
                <c:pt idx="10">
                  <c:v>0.5</c:v>
                </c:pt>
                <c:pt idx="11">
                  <c:v>1</c:v>
                </c:pt>
                <c:pt idx="12">
                  <c:v>0.75</c:v>
                </c:pt>
                <c:pt idx="13">
                  <c:v>1</c:v>
                </c:pt>
                <c:pt idx="14">
                  <c:v>1</c:v>
                </c:pt>
                <c:pt idx="15">
                  <c:v>0.66669999999999996</c:v>
                </c:pt>
                <c:pt idx="16">
                  <c:v>0.5</c:v>
                </c:pt>
                <c:pt idx="17">
                  <c:v>1</c:v>
                </c:pt>
                <c:pt idx="18">
                  <c:v>1</c:v>
                </c:pt>
                <c:pt idx="19">
                  <c:v>0.83330000000000004</c:v>
                </c:pt>
                <c:pt idx="20">
                  <c:v>0.66669999999999996</c:v>
                </c:pt>
                <c:pt idx="21">
                  <c:v>0.33329999999999999</c:v>
                </c:pt>
                <c:pt idx="22">
                  <c:v>0.33329999999999999</c:v>
                </c:pt>
                <c:pt idx="23">
                  <c:v>0.5</c:v>
                </c:pt>
                <c:pt idx="24">
                  <c:v>1</c:v>
                </c:pt>
                <c:pt idx="25">
                  <c:v>0.5</c:v>
                </c:pt>
                <c:pt idx="26">
                  <c:v>0.66669999999999996</c:v>
                </c:pt>
              </c:numCache>
            </c:numRef>
          </c:val>
          <c:smooth val="0"/>
        </c:ser>
        <c:ser>
          <c:idx val="1"/>
          <c:order val="1"/>
          <c:tx>
            <c:strRef>
              <c:f>Feuil1!$C$1</c:f>
              <c:strCache>
                <c:ptCount val="1"/>
                <c:pt idx="0">
                  <c:v>At least sufficient</c:v>
                </c:pt>
              </c:strCache>
            </c:strRef>
          </c:tx>
          <c:spPr>
            <a:ln w="34925">
              <a:solidFill>
                <a:srgbClr val="00B050"/>
              </a:solidFill>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Feuil1!$C$2:$C$28</c:f>
              <c:numCache>
                <c:formatCode>General</c:formatCode>
                <c:ptCount val="27"/>
                <c:pt idx="0">
                  <c:v>0</c:v>
                </c:pt>
                <c:pt idx="1">
                  <c:v>1</c:v>
                </c:pt>
                <c:pt idx="2">
                  <c:v>1</c:v>
                </c:pt>
                <c:pt idx="3">
                  <c:v>1</c:v>
                </c:pt>
                <c:pt idx="4">
                  <c:v>0.75</c:v>
                </c:pt>
                <c:pt idx="5">
                  <c:v>0.75</c:v>
                </c:pt>
                <c:pt idx="6">
                  <c:v>0.5</c:v>
                </c:pt>
                <c:pt idx="7">
                  <c:v>1</c:v>
                </c:pt>
                <c:pt idx="8">
                  <c:v>1</c:v>
                </c:pt>
                <c:pt idx="9">
                  <c:v>1</c:v>
                </c:pt>
                <c:pt idx="10">
                  <c:v>1</c:v>
                </c:pt>
                <c:pt idx="11">
                  <c:v>1</c:v>
                </c:pt>
                <c:pt idx="12">
                  <c:v>1</c:v>
                </c:pt>
                <c:pt idx="13">
                  <c:v>1</c:v>
                </c:pt>
                <c:pt idx="14">
                  <c:v>1</c:v>
                </c:pt>
                <c:pt idx="15">
                  <c:v>0.66669999999999996</c:v>
                </c:pt>
                <c:pt idx="16">
                  <c:v>0.66669999999999996</c:v>
                </c:pt>
                <c:pt idx="17">
                  <c:v>1</c:v>
                </c:pt>
                <c:pt idx="18">
                  <c:v>1</c:v>
                </c:pt>
                <c:pt idx="19">
                  <c:v>1</c:v>
                </c:pt>
                <c:pt idx="20">
                  <c:v>1</c:v>
                </c:pt>
                <c:pt idx="21">
                  <c:v>1</c:v>
                </c:pt>
                <c:pt idx="22">
                  <c:v>1</c:v>
                </c:pt>
                <c:pt idx="23">
                  <c:v>1</c:v>
                </c:pt>
                <c:pt idx="24">
                  <c:v>1</c:v>
                </c:pt>
                <c:pt idx="25">
                  <c:v>1</c:v>
                </c:pt>
                <c:pt idx="26">
                  <c:v>0.66669999999999996</c:v>
                </c:pt>
              </c:numCache>
            </c:numRef>
          </c:val>
          <c:smooth val="0"/>
        </c:ser>
        <c:ser>
          <c:idx val="2"/>
          <c:order val="2"/>
          <c:tx>
            <c:strRef>
              <c:f>Feuil1!$D$1</c:f>
              <c:strCache>
                <c:ptCount val="1"/>
                <c:pt idx="0">
                  <c:v>Poor</c:v>
                </c:pt>
              </c:strCache>
            </c:strRef>
          </c:tx>
          <c:spPr>
            <a:ln w="34925">
              <a:solidFill>
                <a:srgbClr val="C00000"/>
              </a:solidFill>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Feuil1!$D$2:$D$28</c:f>
              <c:numCache>
                <c:formatCode>General</c:formatCode>
                <c:ptCount val="27"/>
                <c:pt idx="0">
                  <c:v>0</c:v>
                </c:pt>
                <c:pt idx="1">
                  <c:v>0</c:v>
                </c:pt>
                <c:pt idx="2">
                  <c:v>0</c:v>
                </c:pt>
                <c:pt idx="3">
                  <c:v>0</c:v>
                </c:pt>
                <c:pt idx="4">
                  <c:v>0.25</c:v>
                </c:pt>
                <c:pt idx="5">
                  <c:v>0.25</c:v>
                </c:pt>
                <c:pt idx="6">
                  <c:v>0.5</c:v>
                </c:pt>
                <c:pt idx="7">
                  <c:v>0</c:v>
                </c:pt>
                <c:pt idx="8">
                  <c:v>0</c:v>
                </c:pt>
                <c:pt idx="9">
                  <c:v>0</c:v>
                </c:pt>
                <c:pt idx="10">
                  <c:v>0</c:v>
                </c:pt>
                <c:pt idx="11">
                  <c:v>0</c:v>
                </c:pt>
                <c:pt idx="12">
                  <c:v>0</c:v>
                </c:pt>
                <c:pt idx="13">
                  <c:v>0</c:v>
                </c:pt>
                <c:pt idx="14">
                  <c:v>0</c:v>
                </c:pt>
                <c:pt idx="15">
                  <c:v>0</c:v>
                </c:pt>
                <c:pt idx="16">
                  <c:v>0.33329999999999999</c:v>
                </c:pt>
                <c:pt idx="17">
                  <c:v>0</c:v>
                </c:pt>
                <c:pt idx="18">
                  <c:v>0</c:v>
                </c:pt>
                <c:pt idx="19">
                  <c:v>0</c:v>
                </c:pt>
                <c:pt idx="20">
                  <c:v>0</c:v>
                </c:pt>
                <c:pt idx="21">
                  <c:v>0</c:v>
                </c:pt>
                <c:pt idx="22">
                  <c:v>0</c:v>
                </c:pt>
                <c:pt idx="23">
                  <c:v>0</c:v>
                </c:pt>
                <c:pt idx="24">
                  <c:v>0</c:v>
                </c:pt>
                <c:pt idx="25">
                  <c:v>0</c:v>
                </c:pt>
                <c:pt idx="26">
                  <c:v>0</c:v>
                </c:pt>
              </c:numCache>
            </c:numRef>
          </c:val>
          <c:smooth val="0"/>
        </c:ser>
        <c:ser>
          <c:idx val="3"/>
          <c:order val="3"/>
          <c:tx>
            <c:strRef>
              <c:f>Feuil1!$E$1</c:f>
              <c:strCache>
                <c:ptCount val="1"/>
                <c:pt idx="0">
                  <c:v>Quality classification not possible</c:v>
                </c:pt>
              </c:strCache>
            </c:strRef>
          </c:tx>
          <c:spPr>
            <a:ln w="31750">
              <a:solidFill>
                <a:schemeClr val="bg1">
                  <a:lumMod val="65000"/>
                </a:schemeClr>
              </a:solidFill>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Feuil1!$E$2:$E$28</c:f>
              <c:numCache>
                <c:formatCode>General</c:formatCode>
                <c:ptCount val="27"/>
                <c:pt idx="0">
                  <c:v>1</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0.33329999999999999</c:v>
                </c:pt>
                <c:pt idx="16">
                  <c:v>0</c:v>
                </c:pt>
                <c:pt idx="17">
                  <c:v>0</c:v>
                </c:pt>
                <c:pt idx="18">
                  <c:v>0</c:v>
                </c:pt>
                <c:pt idx="19">
                  <c:v>0</c:v>
                </c:pt>
                <c:pt idx="20">
                  <c:v>0</c:v>
                </c:pt>
                <c:pt idx="21">
                  <c:v>0</c:v>
                </c:pt>
                <c:pt idx="22">
                  <c:v>0</c:v>
                </c:pt>
                <c:pt idx="23">
                  <c:v>0</c:v>
                </c:pt>
                <c:pt idx="24">
                  <c:v>0</c:v>
                </c:pt>
                <c:pt idx="25">
                  <c:v>0</c:v>
                </c:pt>
                <c:pt idx="26">
                  <c:v>0.33329999999999999</c:v>
                </c:pt>
              </c:numCache>
            </c:numRef>
          </c:val>
          <c:smooth val="0"/>
        </c:ser>
        <c:dLbls>
          <c:showLegendKey val="0"/>
          <c:showVal val="0"/>
          <c:showCatName val="0"/>
          <c:showSerName val="0"/>
          <c:showPercent val="0"/>
          <c:showBubbleSize val="0"/>
        </c:dLbls>
        <c:marker val="1"/>
        <c:smooth val="0"/>
        <c:axId val="202550656"/>
        <c:axId val="207221888"/>
      </c:lineChart>
      <c:catAx>
        <c:axId val="202550656"/>
        <c:scaling>
          <c:orientation val="minMax"/>
        </c:scaling>
        <c:delete val="0"/>
        <c:axPos val="b"/>
        <c:numFmt formatCode="@" sourceLinked="0"/>
        <c:majorTickMark val="out"/>
        <c:minorTickMark val="none"/>
        <c:tickLblPos val="nextTo"/>
        <c:crossAx val="207221888"/>
        <c:crosses val="autoZero"/>
        <c:auto val="1"/>
        <c:lblAlgn val="ctr"/>
        <c:lblOffset val="100"/>
        <c:noMultiLvlLbl val="0"/>
      </c:catAx>
      <c:valAx>
        <c:axId val="207221888"/>
        <c:scaling>
          <c:orientation val="minMax"/>
          <c:max val="1"/>
        </c:scaling>
        <c:delete val="0"/>
        <c:axPos val="l"/>
        <c:majorGridlines>
          <c:spPr>
            <a:ln>
              <a:solidFill>
                <a:schemeClr val="tx1">
                  <a:alpha val="25000"/>
                </a:schemeClr>
              </a:solidFill>
            </a:ln>
          </c:spPr>
        </c:majorGridlines>
        <c:numFmt formatCode="0%" sourceLinked="0"/>
        <c:majorTickMark val="out"/>
        <c:minorTickMark val="none"/>
        <c:tickLblPos val="nextTo"/>
        <c:crossAx val="202550656"/>
        <c:crosses val="autoZero"/>
        <c:crossBetween val="between"/>
      </c:valAx>
    </c:plotArea>
    <c:legend>
      <c:legendPos val="b"/>
      <c:layout>
        <c:manualLayout>
          <c:xMode val="edge"/>
          <c:yMode val="edge"/>
          <c:x val="9.337190677827097E-3"/>
          <c:y val="0.890819674730991"/>
          <c:w val="0.95094512033116296"/>
          <c:h val="0.10889678788092541"/>
        </c:manualLayout>
      </c:layout>
      <c:overlay val="0"/>
      <c:txPr>
        <a:bodyPr/>
        <a:lstStyle/>
        <a:p>
          <a:pPr>
            <a:defRPr sz="900"/>
          </a:pPr>
          <a:endParaRPr lang="en-US"/>
        </a:p>
      </c:txPr>
    </c:legend>
    <c:plotVisOnly val="1"/>
    <c:dispBlanksAs val="gap"/>
    <c:showDLblsOverMax val="0"/>
  </c:chart>
  <c:spPr>
    <a:effectLst/>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15A3F-E4B5-402F-94DF-128C638BC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3034</TotalTime>
  <Pages>8</Pages>
  <Words>2068</Words>
  <Characters>11789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marko</dc:creator>
  <cp:lastModifiedBy>Gašper</cp:lastModifiedBy>
  <cp:revision>230</cp:revision>
  <dcterms:created xsi:type="dcterms:W3CDTF">2014-04-16T13:17:00Z</dcterms:created>
  <dcterms:modified xsi:type="dcterms:W3CDTF">2018-04-25T15:30:00Z</dcterms:modified>
</cp:coreProperties>
</file>