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052" w:rsidRDefault="000F7052" w:rsidP="00ED3BDC"/>
    <w:p w:rsidR="000F7052" w:rsidRDefault="00E95009" w:rsidP="00B67D96">
      <w:pPr>
        <w:jc w:val="center"/>
        <w:rPr>
          <w:rFonts w:cs="Arial"/>
          <w:b/>
          <w:bCs/>
          <w:sz w:val="32"/>
        </w:rPr>
      </w:pPr>
      <w:r>
        <w:rPr>
          <w:b/>
          <w:sz w:val="32"/>
        </w:rPr>
        <w:t xml:space="preserve">BWD Report For the Bathing Season </w:t>
      </w:r>
      <w:r>
        <w:rPr>
          <w:rFonts w:cs="Arial"/>
          <w:b/>
          <w:bCs/>
          <w:sz w:val="32"/>
        </w:rPr>
        <w:t>2017</w:t>
      </w:r>
    </w:p>
    <w:p w:rsidR="000F7052" w:rsidRDefault="0079462E" w:rsidP="00B67D96">
      <w:pPr>
        <w:jc w:val="center"/>
        <w:rPr>
          <w:b/>
          <w:sz w:val="40"/>
        </w:rPr>
      </w:pPr>
      <w:r>
        <w:rPr>
          <w:b/>
          <w:sz w:val="40"/>
        </w:rPr>
        <w:t>Spain</w:t>
      </w:r>
    </w:p>
    <w:p w:rsidR="000F7052" w:rsidRDefault="000F7052" w:rsidP="00ED3BDC"/>
    <w:p w:rsidR="000F7052" w:rsidRDefault="000F7052" w:rsidP="00ED3BDC"/>
    <w:p w:rsidR="000F7052"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Spain.</w:t>
      </w:r>
    </w:p>
    <w:p w:rsidR="000F7052" w:rsidRDefault="000F7052" w:rsidP="00ED3BDC"/>
    <w:p w:rsidR="000F7052" w:rsidRDefault="000F7052" w:rsidP="00ED3BDC"/>
    <w:p w:rsidR="000F7052" w:rsidRDefault="0079462E" w:rsidP="00ED3BDC">
      <w:pPr>
        <w:pStyle w:val="Heading1"/>
      </w:pPr>
      <w:r>
        <w:t xml:space="preserve">BWD reporting in the season </w:t>
      </w:r>
      <w:r>
        <w:rPr>
          <w:szCs w:val="28"/>
        </w:rPr>
        <w:t>2017</w:t>
      </w:r>
    </w:p>
    <w:p w:rsidR="000F7052" w:rsidRDefault="000F7052" w:rsidP="00ED3BDC"/>
    <w:p w:rsidR="000F7052"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0F7052" w:rsidRDefault="0079462E" w:rsidP="00442644">
                            <w:pPr>
                              <w:jc w:val="center"/>
                              <w:rPr>
                                <w:rFonts w:asciiTheme="minorHAnsi" w:hAnsiTheme="minorHAnsi"/>
                                <w:b/>
                              </w:rPr>
                            </w:pPr>
                            <w:r>
                              <w:rPr>
                                <w:rFonts w:asciiTheme="minorHAnsi" w:hAnsiTheme="minorHAnsi"/>
                                <w:b/>
                              </w:rPr>
                              <w:t>Bathing waters of Spain in 2017</w:t>
                            </w:r>
                          </w:p>
                          <w:p w:rsidR="000F7052" w:rsidRDefault="000F7052" w:rsidP="00ED3BDC">
                            <w:pPr>
                              <w:rPr>
                                <w:rFonts w:asciiTheme="minorHAnsi" w:hAnsiTheme="minorHAnsi"/>
                                <w:sz w:val="20"/>
                              </w:rPr>
                            </w:pPr>
                          </w:p>
                          <w:p w:rsidR="000F7052"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2219</w:t>
                            </w:r>
                          </w:p>
                          <w:p w:rsidR="000F7052"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1960</w:t>
                            </w:r>
                          </w:p>
                          <w:p w:rsidR="000F7052"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259</w:t>
                            </w:r>
                          </w:p>
                          <w:p w:rsidR="000F7052" w:rsidRDefault="000F7052" w:rsidP="00DB3D3B">
                            <w:pPr>
                              <w:tabs>
                                <w:tab w:val="right" w:pos="3544"/>
                              </w:tabs>
                              <w:rPr>
                                <w:rFonts w:asciiTheme="minorHAnsi" w:hAnsiTheme="minorHAnsi"/>
                                <w:sz w:val="20"/>
                              </w:rPr>
                            </w:pPr>
                          </w:p>
                          <w:p w:rsidR="000F7052"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124 / 303 days</w:t>
                            </w:r>
                          </w:p>
                          <w:p w:rsidR="000F7052"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 Feb to 30 Nov</w:t>
                            </w:r>
                          </w:p>
                          <w:p w:rsidR="000F7052"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15 May to 30 Sep</w:t>
                            </w:r>
                          </w:p>
                          <w:p w:rsidR="000F7052" w:rsidRDefault="000F7052" w:rsidP="00ED3BDC">
                            <w:pPr>
                              <w:rPr>
                                <w:rFonts w:asciiTheme="minorHAnsi" w:hAnsiTheme="minorHAnsi"/>
                                <w:sz w:val="20"/>
                              </w:rPr>
                            </w:pPr>
                          </w:p>
                          <w:p w:rsidR="000F7052"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23629</w:t>
                            </w:r>
                          </w:p>
                          <w:p w:rsidR="000F7052" w:rsidRDefault="000F7052" w:rsidP="00ED3BDC">
                            <w:pPr>
                              <w:rPr>
                                <w:rFonts w:asciiTheme="minorHAnsi" w:hAnsiTheme="minorHAnsi"/>
                                <w:sz w:val="20"/>
                              </w:rPr>
                            </w:pPr>
                          </w:p>
                          <w:p w:rsidR="000F7052"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93 %</w:t>
                            </w:r>
                          </w:p>
                          <w:p w:rsidR="000F7052" w:rsidRDefault="0079462E" w:rsidP="00ED3BDC">
                            <w:pPr>
                              <w:rPr>
                                <w:rFonts w:asciiTheme="minorHAnsi" w:hAnsiTheme="minorHAnsi"/>
                                <w:b/>
                                <w:sz w:val="20"/>
                              </w:rPr>
                            </w:pPr>
                            <w:r>
                              <w:rPr>
                                <w:rFonts w:asciiTheme="minorHAnsi" w:hAnsiTheme="minorHAnsi"/>
                                <w:b/>
                                <w:sz w:val="20"/>
                              </w:rPr>
                              <w:t xml:space="preserve">with good or excellent </w:t>
                            </w:r>
                          </w:p>
                          <w:p w:rsidR="000F7052" w:rsidRDefault="0079462E" w:rsidP="00ED3BDC">
                            <w:pPr>
                              <w:rPr>
                                <w:rFonts w:asciiTheme="minorHAnsi" w:hAnsiTheme="minorHAnsi"/>
                                <w:b/>
                                <w:sz w:val="20"/>
                              </w:rPr>
                            </w:pPr>
                            <w:r>
                              <w:rPr>
                                <w:rFonts w:asciiTheme="minorHAnsi" w:hAnsiTheme="minorHAnsi"/>
                                <w:b/>
                                <w:sz w:val="20"/>
                              </w:rPr>
                              <w:t>water quality</w:t>
                            </w:r>
                          </w:p>
                          <w:p w:rsidR="000F7052" w:rsidRDefault="000F7052" w:rsidP="00ED3BDC">
                            <w:pPr>
                              <w:rPr>
                                <w:rFonts w:asciiTheme="minorHAnsi" w:hAnsiTheme="minorHAnsi"/>
                                <w:sz w:val="20"/>
                              </w:rPr>
                            </w:pPr>
                          </w:p>
                          <w:p w:rsidR="000F7052"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0F7052"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Default="0079462E" w:rsidP="00442644">
                      <w:pPr>
                        <w:jc w:val="center"/>
                        <w:rPr>
                          <w:rFonts w:asciiTheme="minorHAnsi" w:hAnsiTheme="minorHAnsi"/>
                          <w:b/>
                        </w:rPr>
                      </w:pPr>
                      <w:r>
                        <w:rPr>
                          <w:rFonts w:asciiTheme="minorHAnsi" w:hAnsiTheme="minorHAnsi"/>
                          <w:b/>
                        </w:rPr>
                        <w:t>Bathing waters of Spain in 2017</w:t>
                      </w:r>
                    </w:p>
                    <w:p w:rsidRDefault="0079462E" w:rsidP="00ED3BDC">
                      <w:pPr>
                        <w:rPr>
                          <w:rFonts w:asciiTheme="minorHAnsi" w:hAnsiTheme="minorHAnsi"/>
                          <w:sz w:val="20"/>
                        </w:rPr>
                      </w:pPr>
                    </w:p>
                    <w:p w:rsidRDefault="008B5077" w:rsidP="00DB3D3B">
                      <w:pPr>
                        <w:tabs>
                          <w:tab w:val="right" w:pos="3544"/>
                        </w:tabs>
                        <w:rPr>
                          <w:rFonts w:asciiTheme="minorHAnsi" w:hAnsiTheme="minorHAnsi"/>
                          <w:b/>
                          <w:sz w:val="20"/>
                        </w:rPr>
                      </w:pPr>
                      <w:r>
                        <w:rPr>
                          <w:rFonts w:asciiTheme="minorHAnsi" w:hAnsiTheme="minorHAnsi"/>
                          <w:b/>
                          <w:sz w:val="20"/>
                        </w:rPr>
                        <w:t>Total reported </w:t>
                      </w:r>
                      <w:r>
                        <w:rPr>
                          <w:rFonts w:asciiTheme="minorHAnsi" w:hAnsiTheme="minorHAnsi"/>
                          <w:b/>
                          <w:sz w:val="20"/>
                        </w:rPr>
                        <w:tab/>
                        <w:t>2219</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1960</w:t>
                      </w:r>
                    </w:p>
                    <w:p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259</w:t>
                      </w:r>
                    </w:p>
                    <w:p w:rsidRDefault="001111CA" w:rsidP="00DB3D3B">
                      <w:pPr>
                        <w:tabs>
                          <w:tab w:val="right" w:pos="3544"/>
                        </w:tabs>
                        <w:rPr>
                          <w:rFonts w:asciiTheme="minorHAnsi" w:hAnsiTheme="minorHAnsi"/>
                          <w:sz w:val="20"/>
                        </w:rPr>
                      </w:pPr>
                    </w:p>
                    <w:p w:rsidRDefault="008A3C2A" w:rsidP="00DB3D3B">
                      <w:pPr>
                        <w:tabs>
                          <w:tab w:val="right" w:pos="3544"/>
                        </w:tabs>
                        <w:rPr>
                          <w:rFonts w:asciiTheme="minorHAnsi" w:hAnsiTheme="minorHAnsi"/>
                          <w:b/>
                          <w:sz w:val="20"/>
                        </w:rPr>
                      </w:pPr>
                      <w:r>
                        <w:rPr>
                          <w:rFonts w:asciiTheme="minorHAnsi" w:hAnsiTheme="minorHAnsi"/>
                          <w:b/>
                          <w:sz w:val="20"/>
                        </w:rPr>
                        <w:t>Max season period </w:t>
                      </w:r>
                      <w:r>
                        <w:rPr>
                          <w:rFonts w:asciiTheme="minorHAnsi" w:hAnsiTheme="minorHAnsi"/>
                          <w:b/>
                          <w:sz w:val="20"/>
                        </w:rPr>
                        <w:tab/>
                      </w:r>
                      <w:r>
                        <w:rPr>
                          <w:rFonts w:asciiTheme="minorHAnsi" w:hAnsiTheme="minorHAnsi"/>
                          <w:b/>
                          <w:sz w:val="20"/>
                        </w:rPr>
                        <w:t>124 / 303 days</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r>
                      <w:r>
                        <w:rPr>
                          <w:rFonts w:asciiTheme="minorHAnsi" w:hAnsiTheme="minorHAnsi"/>
                          <w:sz w:val="20"/>
                        </w:rPr>
                        <w:t>1 Feb to 30 Nov</w:t>
                      </w:r>
                    </w:p>
                    <w:p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r>
                      <w:r>
                        <w:rPr>
                          <w:rFonts w:asciiTheme="minorHAnsi" w:hAnsiTheme="minorHAnsi"/>
                          <w:sz w:val="20"/>
                        </w:rPr>
                        <w:t>15 May to 30 Sep</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r>
                      <w:r>
                        <w:rPr>
                          <w:rFonts w:asciiTheme="minorHAnsi" w:hAnsiTheme="minorHAnsi"/>
                          <w:b/>
                          <w:sz w:val="20"/>
                        </w:rPr>
                        <w:t>23629</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Share of bathing waters </w:t>
                      </w:r>
                      <w:r>
                        <w:rPr>
                          <w:rFonts w:asciiTheme="minorHAnsi" w:hAnsiTheme="minorHAnsi"/>
                          <w:b/>
                          <w:sz w:val="20"/>
                        </w:rPr>
                        <w:tab/>
                      </w:r>
                      <w:r>
                        <w:rPr>
                          <w:rFonts w:asciiTheme="minorHAnsi" w:hAnsiTheme="minorHAnsi"/>
                          <w:b/>
                          <w:sz w:val="20"/>
                        </w:rPr>
                        <w:t>93 %</w:t>
                      </w:r>
                    </w:p>
                    <w:p w:rsidRDefault="0079462E" w:rsidP="00ED3BDC">
                      <w:pPr>
                        <w:rPr>
                          <w:rFonts w:asciiTheme="minorHAnsi" w:hAnsiTheme="minorHAnsi"/>
                          <w:b/>
                          <w:sz w:val="20"/>
                        </w:rPr>
                      </w:pPr>
                      <w:r>
                        <w:rPr>
                          <w:rFonts w:asciiTheme="minorHAnsi" w:hAnsiTheme="minorHAnsi"/>
                          <w:b/>
                          <w:sz w:val="20"/>
                        </w:rPr>
                        <w:t>with good or excellent </w:t>
                      </w:r>
                    </w:p>
                    <w:p w:rsidRDefault="0079462E" w:rsidP="00ED3BDC">
                      <w:pPr>
                        <w:rPr>
                          <w:rFonts w:asciiTheme="minorHAnsi" w:hAnsiTheme="minorHAnsi"/>
                          <w:b/>
                          <w:sz w:val="20"/>
                        </w:rPr>
                      </w:pPr>
                      <w:r>
                        <w:rPr>
                          <w:rFonts w:asciiTheme="minorHAnsi" w:hAnsiTheme="minorHAnsi"/>
                          <w:b/>
                          <w:sz w:val="20"/>
                        </w:rPr>
                        <w:t>water quality</w:t>
                      </w:r>
                    </w:p>
                    <w:p w:rsidRDefault="0079462E" w:rsidP="00ED3BDC">
                      <w:pPr>
                        <w:rPr>
                          <w:rFonts w:asciiTheme="minorHAnsi" w:hAnsiTheme="minorHAnsi"/>
                          <w:sz w:val="20"/>
                        </w:rPr>
                      </w:pPr>
                    </w:p>
                    <w:p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r>
                      <w:r>
                        <w:rPr>
                          <w:rFonts w:asciiTheme="minorHAnsi" w:hAnsiTheme="minorHAnsi"/>
                          <w:b/>
                          <w:sz w:val="20"/>
                        </w:rPr>
                        <w:t>2008</w:t>
                      </w:r>
                    </w:p>
                    <w:p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2219 bathing waters have been reported in Spain. For each bathing water, five groups of parameters have been delivered</w:t>
      </w:r>
      <w:r>
        <w:rPr>
          <w:rStyle w:val="FootnoteReference"/>
        </w:rPr>
        <w:footnoteReference w:id="3"/>
      </w:r>
      <w:r>
        <w:t>:</w:t>
      </w:r>
    </w:p>
    <w:p w:rsidR="000F7052"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0F7052"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0F7052"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0F7052"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0F7052"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0F7052" w:rsidRDefault="000F7052" w:rsidP="00ED3BDC"/>
    <w:p w:rsidR="000F7052" w:rsidRDefault="0079462E" w:rsidP="00ED3BDC">
      <w:r>
        <w:t xml:space="preserve">The authorities of </w:t>
      </w:r>
      <w:r>
        <w:rPr>
          <w:rFonts w:ascii="Cambria" w:hAnsi="Cambria"/>
        </w:rPr>
        <w:t>Spain</w:t>
      </w:r>
      <w:r>
        <w:t xml:space="preserve"> report data according to the new BWD (2006/7/EC) since the season </w:t>
      </w:r>
      <w:r>
        <w:rPr>
          <w:rFonts w:ascii="Cambria" w:hAnsi="Cambria"/>
        </w:rPr>
        <w:t>2008</w:t>
      </w:r>
      <w:r>
        <w:t>.</w:t>
      </w:r>
    </w:p>
    <w:p w:rsidR="000F7052" w:rsidRDefault="000F7052" w:rsidP="00ED3BDC"/>
    <w:p w:rsidR="000F7052" w:rsidRDefault="0079462E" w:rsidP="00ED3BDC">
      <w:r>
        <w:t xml:space="preserve">Altogether, </w:t>
      </w:r>
      <w:r>
        <w:rPr>
          <w:rFonts w:ascii="Cambria" w:hAnsi="Cambria"/>
          <w:b/>
        </w:rPr>
        <w:t>2219</w:t>
      </w:r>
      <w:r>
        <w:rPr>
          <w:rFonts w:ascii="Cambria" w:hAnsi="Cambria"/>
        </w:rPr>
        <w:t xml:space="preserve"> </w:t>
      </w:r>
      <w:r>
        <w:rPr>
          <w:b/>
        </w:rPr>
        <w:t xml:space="preserve">bathing waters </w:t>
      </w:r>
      <w:r>
        <w:t xml:space="preserve">have been reported – 10.2% of all bathing waters in Europe. </w:t>
      </w:r>
      <w:r w:rsidR="003A6962">
        <w:t xml:space="preserve">35 </w:t>
      </w:r>
      <w:r>
        <w:t xml:space="preserve">bathing waters have been newly reported in the recent season. 88% of bathing waters in Spain are of coastal type; the other 12% are inland. </w:t>
      </w:r>
      <w:r>
        <w:rPr>
          <w:b/>
        </w:rPr>
        <w:t>23629 samples</w:t>
      </w:r>
      <w:r>
        <w:t xml:space="preserve"> were taken at bathing waters throughout the season – 11 per bathing water on average.</w:t>
      </w:r>
    </w:p>
    <w:p w:rsidR="000F7052" w:rsidRDefault="000F7052" w:rsidP="00ED3BDC"/>
    <w:p w:rsidR="000F7052" w:rsidRDefault="002B438D" w:rsidP="00ED3BDC">
      <w:r>
        <w:lastRenderedPageBreak/>
        <w:t>The maximum bathing season period was from 1 February to 30 November for coastal bathing waters, i.e. 303 days altogether.</w:t>
      </w:r>
      <w:r w:rsidR="003A6962">
        <w:t xml:space="preserve"> </w:t>
      </w:r>
      <w:r w:rsidR="00E61218">
        <w:t>Maximum inland bathing season period was from 15 May to 30 September, i.e. 124 days.</w:t>
      </w:r>
      <w:r w:rsidR="003A6962">
        <w:t xml:space="preserve"> Season duration varies depending on the bathing water.</w:t>
      </w:r>
    </w:p>
    <w:p w:rsidR="000F7052" w:rsidRDefault="000F7052" w:rsidP="00ED3BDC"/>
    <w:p w:rsidR="000F7052" w:rsidRDefault="002B438D" w:rsidP="00ED3BDC">
      <w:r>
        <w:t xml:space="preserve">Detailed information on bathing waters is available from national portal at </w:t>
      </w:r>
      <w:hyperlink r:id="rId9" w:history="1">
        <w:r w:rsidR="003A6962" w:rsidRPr="003F4ABB">
          <w:rPr>
            <w:rStyle w:val="Hyperlink"/>
          </w:rPr>
          <w:t>https://nayadeciudadano.msssi.es/Splayas/ciudadano/indexCiudadanoAction.do</w:t>
        </w:r>
      </w:hyperlink>
      <w:r>
        <w:t>.</w:t>
      </w:r>
    </w:p>
    <w:p w:rsidR="000F7052" w:rsidRDefault="000F7052" w:rsidP="00ED3BDC"/>
    <w:p w:rsidR="000F7052" w:rsidRDefault="000F7052" w:rsidP="00ED3BDC"/>
    <w:p w:rsidR="000F7052" w:rsidRDefault="002B438D" w:rsidP="00ED3BDC">
      <w:pPr>
        <w:pStyle w:val="Heading1"/>
      </w:pPr>
      <w:r>
        <w:t>Assessment methodology</w:t>
      </w:r>
      <w:r>
        <w:rPr>
          <w:rStyle w:val="FootnoteReference"/>
        </w:rPr>
        <w:footnoteReference w:id="4"/>
      </w:r>
    </w:p>
    <w:p w:rsidR="000F7052" w:rsidRDefault="000F7052" w:rsidP="00ED3BDC"/>
    <w:p w:rsidR="000F7052"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0F7052" w:rsidRDefault="000F7052" w:rsidP="00ED3BDC"/>
    <w:p w:rsidR="000F7052" w:rsidRDefault="003F038E" w:rsidP="00ED3BDC">
      <w:r>
        <w:t>The monitoring requirements under the Directive are:</w:t>
      </w:r>
    </w:p>
    <w:p w:rsidR="000F7052"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0F7052"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0F7052"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0F7052" w:rsidRDefault="000F7052" w:rsidP="00ED3BDC"/>
    <w:p w:rsidR="000F7052" w:rsidRDefault="003F038E" w:rsidP="003F038E">
      <w:r>
        <w:t xml:space="preserve">If these rules are satisfied, the bathing water is categorised as 'sampling frequency satisfied'. If not all monitoring requirements are fulfilled the bathing water is categorised as 'not enough samples'. 97.8%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0F7052" w:rsidRDefault="000F7052" w:rsidP="00ED3BDC"/>
    <w:p w:rsidR="000F7052"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0F7052" w:rsidTr="00484359">
        <w:trPr>
          <w:trHeight w:val="343"/>
        </w:trPr>
        <w:tc>
          <w:tcPr>
            <w:tcW w:w="6379" w:type="dxa"/>
            <w:shd w:val="clear" w:color="auto" w:fill="F2F2F2" w:themeFill="background1" w:themeFillShade="F2"/>
            <w:vAlign w:val="center"/>
          </w:tcPr>
          <w:p w:rsidR="000F7052" w:rsidRDefault="000F7052" w:rsidP="00484359">
            <w:pPr>
              <w:jc w:val="left"/>
              <w:rPr>
                <w:rFonts w:asciiTheme="minorHAnsi" w:hAnsiTheme="minorHAnsi"/>
                <w:b/>
                <w:sz w:val="20"/>
              </w:rPr>
            </w:pPr>
          </w:p>
        </w:tc>
        <w:tc>
          <w:tcPr>
            <w:tcW w:w="1701" w:type="dxa"/>
            <w:shd w:val="clear" w:color="auto" w:fill="F2F2F2" w:themeFill="background1" w:themeFillShade="F2"/>
            <w:vAlign w:val="center"/>
          </w:tcPr>
          <w:p w:rsidR="000F7052"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0F7052" w:rsidRDefault="00484359" w:rsidP="00484359">
            <w:pPr>
              <w:jc w:val="left"/>
              <w:rPr>
                <w:rFonts w:asciiTheme="minorHAnsi" w:hAnsiTheme="minorHAnsi"/>
                <w:b/>
                <w:sz w:val="20"/>
              </w:rPr>
            </w:pPr>
            <w:r>
              <w:rPr>
                <w:rFonts w:asciiTheme="minorHAnsi" w:hAnsiTheme="minorHAnsi"/>
                <w:b/>
                <w:sz w:val="20"/>
              </w:rPr>
              <w:t>Share of total [%]</w:t>
            </w:r>
          </w:p>
        </w:tc>
      </w:tr>
      <w:tr w:rsidR="000F7052" w:rsidTr="00484359">
        <w:tc>
          <w:tcPr>
            <w:tcW w:w="6379" w:type="dxa"/>
          </w:tcPr>
          <w:p w:rsidR="000F7052"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0F7052"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0F7052" w:rsidRDefault="006D2330" w:rsidP="00B14C10">
            <w:pPr>
              <w:jc w:val="right"/>
              <w:rPr>
                <w:rFonts w:asciiTheme="minorHAnsi" w:hAnsiTheme="minorHAnsi"/>
                <w:sz w:val="20"/>
              </w:rPr>
            </w:pPr>
            <w:r>
              <w:rPr>
                <w:rFonts w:asciiTheme="minorHAnsi" w:hAnsiTheme="minorHAnsi"/>
                <w:sz w:val="20"/>
              </w:rPr>
              <w:t>2170</w:t>
            </w:r>
          </w:p>
        </w:tc>
        <w:tc>
          <w:tcPr>
            <w:tcW w:w="1701" w:type="dxa"/>
            <w:vAlign w:val="center"/>
          </w:tcPr>
          <w:p w:rsidR="000F7052" w:rsidRDefault="004D61EC" w:rsidP="00B14C10">
            <w:pPr>
              <w:jc w:val="right"/>
              <w:rPr>
                <w:rFonts w:asciiTheme="minorHAnsi" w:hAnsiTheme="minorHAnsi"/>
                <w:b/>
                <w:sz w:val="20"/>
              </w:rPr>
            </w:pPr>
            <w:r>
              <w:rPr>
                <w:rFonts w:asciiTheme="minorHAnsi" w:hAnsiTheme="minorHAnsi"/>
                <w:sz w:val="20"/>
              </w:rPr>
              <w:t>97.8%</w:t>
            </w:r>
          </w:p>
        </w:tc>
      </w:tr>
      <w:tr w:rsidR="000F7052" w:rsidTr="00484359">
        <w:tc>
          <w:tcPr>
            <w:tcW w:w="6379" w:type="dxa"/>
          </w:tcPr>
          <w:p w:rsidR="000F7052"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0F7052" w:rsidRDefault="00025D01" w:rsidP="00B249A7">
            <w:pPr>
              <w:jc w:val="left"/>
              <w:rPr>
                <w:rFonts w:asciiTheme="minorHAnsi" w:hAnsiTheme="minorHAnsi"/>
                <w:sz w:val="20"/>
              </w:rPr>
            </w:pPr>
            <w:r>
              <w:rPr>
                <w:rFonts w:asciiTheme="minorHAnsi" w:hAnsiTheme="minorHAnsi"/>
                <w:color w:val="595959" w:themeColor="text1" w:themeTint="A6"/>
                <w:sz w:val="20"/>
              </w:rPr>
              <w:t xml:space="preserve">These bathing waters exist throughout the last assessment period but have not been monitored throughout the period according to provisions for </w:t>
            </w:r>
            <w:r>
              <w:rPr>
                <w:rFonts w:asciiTheme="minorHAnsi" w:hAnsiTheme="minorHAnsi"/>
                <w:color w:val="595959" w:themeColor="text1" w:themeTint="A6"/>
                <w:sz w:val="20"/>
              </w:rPr>
              <w:lastRenderedPageBreak/>
              <w:t>various individual reasons. They may be quality-classified if there is an adequate volume of samples available for credible classification.</w:t>
            </w:r>
          </w:p>
        </w:tc>
        <w:tc>
          <w:tcPr>
            <w:tcW w:w="1701" w:type="dxa"/>
            <w:vAlign w:val="center"/>
          </w:tcPr>
          <w:p w:rsidR="000F7052" w:rsidRDefault="006710BD" w:rsidP="00B14C10">
            <w:pPr>
              <w:jc w:val="right"/>
              <w:rPr>
                <w:rFonts w:asciiTheme="minorHAnsi" w:hAnsiTheme="minorHAnsi"/>
                <w:b/>
                <w:sz w:val="20"/>
              </w:rPr>
            </w:pPr>
            <w:r>
              <w:rPr>
                <w:rFonts w:asciiTheme="minorHAnsi" w:hAnsiTheme="minorHAnsi"/>
                <w:sz w:val="20"/>
              </w:rPr>
              <w:lastRenderedPageBreak/>
              <w:t>8</w:t>
            </w:r>
          </w:p>
        </w:tc>
        <w:tc>
          <w:tcPr>
            <w:tcW w:w="1701" w:type="dxa"/>
            <w:vAlign w:val="center"/>
          </w:tcPr>
          <w:p w:rsidR="000F7052" w:rsidRDefault="004D61EC" w:rsidP="00484359">
            <w:pPr>
              <w:jc w:val="right"/>
              <w:rPr>
                <w:rFonts w:asciiTheme="minorHAnsi" w:hAnsiTheme="minorHAnsi"/>
                <w:b/>
                <w:sz w:val="20"/>
              </w:rPr>
            </w:pPr>
            <w:r>
              <w:rPr>
                <w:rFonts w:asciiTheme="minorHAnsi" w:hAnsiTheme="minorHAnsi"/>
                <w:sz w:val="20"/>
              </w:rPr>
              <w:t>0.4%</w:t>
            </w:r>
          </w:p>
        </w:tc>
      </w:tr>
      <w:tr w:rsidR="000F7052" w:rsidTr="00484359">
        <w:tc>
          <w:tcPr>
            <w:tcW w:w="6379" w:type="dxa"/>
          </w:tcPr>
          <w:p w:rsidR="000F7052"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0F7052"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0F7052" w:rsidRDefault="006710BD" w:rsidP="00B14C10">
            <w:pPr>
              <w:jc w:val="right"/>
              <w:rPr>
                <w:rFonts w:asciiTheme="minorHAnsi" w:hAnsiTheme="minorHAnsi"/>
                <w:b/>
                <w:sz w:val="20"/>
              </w:rPr>
            </w:pPr>
            <w:r>
              <w:rPr>
                <w:rFonts w:asciiTheme="minorHAnsi" w:hAnsiTheme="minorHAnsi"/>
                <w:sz w:val="20"/>
              </w:rPr>
              <w:t>41</w:t>
            </w:r>
          </w:p>
        </w:tc>
        <w:tc>
          <w:tcPr>
            <w:tcW w:w="1701" w:type="dxa"/>
            <w:vAlign w:val="center"/>
          </w:tcPr>
          <w:p w:rsidR="000F7052" w:rsidRDefault="004D61EC" w:rsidP="00B14C10">
            <w:pPr>
              <w:jc w:val="right"/>
              <w:rPr>
                <w:rFonts w:asciiTheme="minorHAnsi" w:hAnsiTheme="minorHAnsi"/>
                <w:b/>
                <w:sz w:val="20"/>
              </w:rPr>
            </w:pPr>
            <w:r>
              <w:rPr>
                <w:rFonts w:asciiTheme="minorHAnsi" w:hAnsiTheme="minorHAnsi"/>
                <w:sz w:val="20"/>
              </w:rPr>
              <w:t>1.8%</w:t>
            </w:r>
          </w:p>
        </w:tc>
      </w:tr>
      <w:tr w:rsidR="000F7052" w:rsidTr="00484359">
        <w:trPr>
          <w:trHeight w:val="323"/>
        </w:trPr>
        <w:tc>
          <w:tcPr>
            <w:tcW w:w="6379" w:type="dxa"/>
            <w:shd w:val="clear" w:color="auto" w:fill="F2F2F2" w:themeFill="background1" w:themeFillShade="F2"/>
            <w:vAlign w:val="center"/>
          </w:tcPr>
          <w:p w:rsidR="000F7052"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0F7052" w:rsidRDefault="00993FEC" w:rsidP="00484359">
            <w:pPr>
              <w:jc w:val="right"/>
              <w:rPr>
                <w:rFonts w:asciiTheme="minorHAnsi" w:hAnsiTheme="minorHAnsi"/>
                <w:b/>
                <w:sz w:val="20"/>
              </w:rPr>
            </w:pPr>
            <w:r>
              <w:rPr>
                <w:rFonts w:asciiTheme="minorHAnsi" w:hAnsiTheme="minorHAnsi"/>
                <w:b/>
                <w:sz w:val="20"/>
              </w:rPr>
              <w:t>2219</w:t>
            </w:r>
          </w:p>
        </w:tc>
        <w:tc>
          <w:tcPr>
            <w:tcW w:w="1701" w:type="dxa"/>
            <w:shd w:val="clear" w:color="auto" w:fill="F2F2F2" w:themeFill="background1" w:themeFillShade="F2"/>
            <w:vAlign w:val="center"/>
          </w:tcPr>
          <w:p w:rsidR="000F7052" w:rsidRDefault="004943BD" w:rsidP="004943BD">
            <w:pPr>
              <w:jc w:val="right"/>
              <w:rPr>
                <w:rFonts w:asciiTheme="minorHAnsi" w:hAnsiTheme="minorHAnsi"/>
                <w:b/>
                <w:sz w:val="20"/>
              </w:rPr>
            </w:pPr>
            <w:r>
              <w:rPr>
                <w:rFonts w:asciiTheme="minorHAnsi" w:hAnsiTheme="minorHAnsi"/>
                <w:b/>
                <w:sz w:val="20"/>
              </w:rPr>
              <w:t>100%</w:t>
            </w:r>
          </w:p>
        </w:tc>
      </w:tr>
    </w:tbl>
    <w:p w:rsidR="000F7052" w:rsidRDefault="000F7052" w:rsidP="00ED3BDC"/>
    <w:p w:rsidR="000F7052"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0F7052" w:rsidRDefault="000F7052" w:rsidP="00ED3BDC"/>
    <w:p w:rsidR="000F7052"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0F7052" w:rsidRDefault="000F7052" w:rsidP="00ED3BDC"/>
    <w:p w:rsidR="000F7052" w:rsidRDefault="002F24A6" w:rsidP="002F24A6">
      <w:r>
        <w:t>Quality assessment is not possible for all bathing waters. In these cases, they are instead classified as either:</w:t>
      </w:r>
    </w:p>
    <w:p w:rsidR="000F7052" w:rsidRDefault="002F24A6" w:rsidP="002F24A6">
      <w:pPr>
        <w:ind w:firstLine="284"/>
      </w:pPr>
      <w:r>
        <w:t>• not enough samples</w:t>
      </w:r>
      <w:r>
        <w:rPr>
          <w:rStyle w:val="FootnoteReference"/>
        </w:rPr>
        <w:footnoteReference w:id="8"/>
      </w:r>
      <w:r>
        <w:t>;</w:t>
      </w:r>
    </w:p>
    <w:p w:rsidR="000F7052" w:rsidRDefault="002F24A6" w:rsidP="002F24A6">
      <w:pPr>
        <w:ind w:firstLine="284"/>
      </w:pPr>
      <w:r>
        <w:t>• new</w:t>
      </w:r>
      <w:r>
        <w:rPr>
          <w:rStyle w:val="FootnoteReference"/>
        </w:rPr>
        <w:footnoteReference w:id="9"/>
      </w:r>
      <w:r>
        <w:t>;</w:t>
      </w:r>
    </w:p>
    <w:p w:rsidR="000F7052" w:rsidRDefault="00783E42" w:rsidP="00783E42">
      <w:pPr>
        <w:ind w:firstLine="284"/>
      </w:pPr>
      <w:r>
        <w:t>• changes</w:t>
      </w:r>
      <w:r>
        <w:rPr>
          <w:rStyle w:val="FootnoteReference"/>
        </w:rPr>
        <w:footnoteReference w:id="10"/>
      </w:r>
      <w:r>
        <w:t>;</w:t>
      </w:r>
    </w:p>
    <w:p w:rsidR="000F7052" w:rsidRDefault="00783E42" w:rsidP="00783E42">
      <w:pPr>
        <w:ind w:firstLine="284"/>
      </w:pPr>
      <w:r>
        <w:t>• closed</w:t>
      </w:r>
      <w:r>
        <w:rPr>
          <w:rStyle w:val="FootnoteReference"/>
        </w:rPr>
        <w:footnoteReference w:id="11"/>
      </w:r>
      <w:r>
        <w:t>.</w:t>
      </w:r>
    </w:p>
    <w:p w:rsidR="000F7052" w:rsidRDefault="000F7052" w:rsidP="00AF3F74"/>
    <w:p w:rsidR="000F7052" w:rsidRDefault="000F7052" w:rsidP="00ED3BDC"/>
    <w:p w:rsidR="000F7052" w:rsidRDefault="002B438D" w:rsidP="00ED3BDC">
      <w:pPr>
        <w:pStyle w:val="Heading1"/>
      </w:pPr>
      <w:r>
        <w:t>Bathing water quality</w:t>
      </w:r>
    </w:p>
    <w:p w:rsidR="000F7052" w:rsidRDefault="000F7052" w:rsidP="00ED3BDC"/>
    <w:p w:rsidR="000F7052" w:rsidRDefault="002B438D" w:rsidP="00ED3BDC">
      <w:r>
        <w:t>The results of the bathing water quality in Spain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0F7052" w:rsidRDefault="000F7052" w:rsidP="00ED3BDC"/>
    <w:p w:rsidR="003A6962" w:rsidRDefault="003A6962" w:rsidP="00ED3BDC"/>
    <w:p w:rsidR="003A6962" w:rsidRDefault="003A6962" w:rsidP="00ED3BDC"/>
    <w:p w:rsidR="003A6962" w:rsidRDefault="003A6962" w:rsidP="00ED3BDC"/>
    <w:p w:rsidR="003A6962" w:rsidRDefault="003A6962" w:rsidP="00ED3BDC"/>
    <w:p w:rsidR="000F7052" w:rsidRDefault="002B438D" w:rsidP="00ED3BDC">
      <w:pPr>
        <w:pStyle w:val="Heading2"/>
      </w:pPr>
      <w:r>
        <w:lastRenderedPageBreak/>
        <w:t>Coastal bathing waters</w:t>
      </w:r>
    </w:p>
    <w:p w:rsidR="000F7052" w:rsidRDefault="000F7052" w:rsidP="00ED3BDC"/>
    <w:p w:rsidR="000F7052" w:rsidRDefault="002B438D" w:rsidP="00ED3BDC">
      <w:r>
        <w:t xml:space="preserve">In Spain, 98.4% of all existing coastal bathing waters met at least sufficient water quality standards in 2017. See Appendix 1 for numeric data. </w:t>
      </w:r>
    </w:p>
    <w:p w:rsidR="000F7052" w:rsidRDefault="000F7052" w:rsidP="00ED3BDC"/>
    <w:p w:rsidR="000F7052"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7052"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Spain. </w:t>
      </w:r>
      <w:r>
        <w:rPr>
          <w:b w:val="0"/>
        </w:rPr>
        <w:t>Note: the “At least sufficient” class also includes bathing waters of “Excellent” quality class, the sum of shares is therefore not 100%.</w:t>
      </w:r>
      <w:r>
        <w:t xml:space="preserve"> </w:t>
      </w:r>
    </w:p>
    <w:p w:rsidR="000F7052" w:rsidRDefault="000F7052" w:rsidP="00ED3BDC"/>
    <w:p w:rsidR="000F7052" w:rsidRDefault="000F7052" w:rsidP="00ED3BDC"/>
    <w:p w:rsidR="000F7052" w:rsidRDefault="002B438D" w:rsidP="00ED3BDC">
      <w:pPr>
        <w:pStyle w:val="Heading2"/>
      </w:pPr>
      <w:r>
        <w:t>Inland bathing waters</w:t>
      </w:r>
    </w:p>
    <w:p w:rsidR="000F7052" w:rsidRDefault="000F7052" w:rsidP="00ED3BDC"/>
    <w:p w:rsidR="000F7052" w:rsidRDefault="007C239B" w:rsidP="002318DD">
      <w:r>
        <w:t>79.2% of all existing inland bathing waters were of at least sufficient water quality in 2017. See Appendix 1 for numeric data.</w:t>
      </w:r>
      <w:bookmarkStart w:id="1" w:name="OLE_LINK19"/>
      <w:bookmarkStart w:id="2" w:name="OLE_LINK20"/>
      <w:r>
        <w:t xml:space="preserve"> </w:t>
      </w:r>
    </w:p>
    <w:p w:rsidR="000F7052" w:rsidRDefault="000F7052" w:rsidP="002318DD"/>
    <w:p w:rsidR="000F7052"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0F7052"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Spain. </w:t>
      </w:r>
      <w:r>
        <w:rPr>
          <w:b w:val="0"/>
        </w:rPr>
        <w:t>Note: the “At least sufficient” class also includes bathing waters of “Excellent” quality class, the sum of shares is therefore not 100%.</w:t>
      </w:r>
      <w:r>
        <w:t xml:space="preserve"> </w:t>
      </w:r>
    </w:p>
    <w:p w:rsidR="000F7052" w:rsidRDefault="000F7052" w:rsidP="00ED3BDC">
      <w:pPr>
        <w:pStyle w:val="Caption"/>
      </w:pPr>
    </w:p>
    <w:p w:rsidR="000F7052" w:rsidRDefault="000F7052" w:rsidP="00ED3BDC"/>
    <w:p w:rsidR="000F7052" w:rsidRDefault="000F7052" w:rsidP="00ED3BDC"/>
    <w:p w:rsidR="000F7052"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0F7052" w:rsidRDefault="000F7052" w:rsidP="00ED3BDC"/>
    <w:p w:rsidR="003A6962" w:rsidRDefault="003A6962" w:rsidP="003A6962">
      <w:r>
        <w:t>In the season 2017, there were 122 short-term pollutions in Spain, at 103 different bathing waters; and 12 abnormal situations reported.</w:t>
      </w:r>
    </w:p>
    <w:p w:rsidR="003A6962" w:rsidRDefault="003A6962" w:rsidP="003A6962"/>
    <w:p w:rsidR="000F7052" w:rsidRDefault="003A6962" w:rsidP="003A6962">
      <w:r>
        <w:t xml:space="preserve">There were waste water treatment infrastructure developments in recent years. The waste water treatment plant in the north of the </w:t>
      </w:r>
      <w:proofErr w:type="spellStart"/>
      <w:r>
        <w:t>Ría</w:t>
      </w:r>
      <w:proofErr w:type="spellEnd"/>
      <w:r>
        <w:t xml:space="preserve"> de Ares and south of the </w:t>
      </w:r>
      <w:proofErr w:type="spellStart"/>
      <w:r>
        <w:t>Ría</w:t>
      </w:r>
      <w:proofErr w:type="spellEnd"/>
      <w:r>
        <w:t xml:space="preserve"> de Ferrol has started operating In July 2014; another waste water treatment plant has started operating in the area of San </w:t>
      </w:r>
      <w:proofErr w:type="spellStart"/>
      <w:r>
        <w:t>Ciprian</w:t>
      </w:r>
      <w:proofErr w:type="spellEnd"/>
      <w:r>
        <w:t xml:space="preserve"> in May 2015. Other specific management measures in Spain include repairs of wells in the sewer system; completion of works to improve the drainage of the Río </w:t>
      </w:r>
      <w:proofErr w:type="spellStart"/>
      <w:r>
        <w:t>Canedo</w:t>
      </w:r>
      <w:proofErr w:type="spellEnd"/>
      <w:r>
        <w:t xml:space="preserve"> in May 2015; completion of works in the </w:t>
      </w:r>
      <w:proofErr w:type="spellStart"/>
      <w:r>
        <w:t>arenal</w:t>
      </w:r>
      <w:proofErr w:type="spellEnd"/>
      <w:r>
        <w:t xml:space="preserve"> in September 2014, in the vicinity of the Beach </w:t>
      </w:r>
      <w:proofErr w:type="gramStart"/>
      <w:r>
        <w:t>of  Playa</w:t>
      </w:r>
      <w:proofErr w:type="gramEnd"/>
      <w:r>
        <w:t xml:space="preserve"> de </w:t>
      </w:r>
      <w:proofErr w:type="spellStart"/>
      <w:r>
        <w:t>Penedo</w:t>
      </w:r>
      <w:proofErr w:type="spellEnd"/>
      <w:r>
        <w:t xml:space="preserve">; paving and improvement of municipal facilities at Playa de </w:t>
      </w:r>
      <w:proofErr w:type="spellStart"/>
      <w:r>
        <w:t>Sada</w:t>
      </w:r>
      <w:proofErr w:type="spellEnd"/>
      <w:r>
        <w:t xml:space="preserve"> Las </w:t>
      </w:r>
      <w:proofErr w:type="spellStart"/>
      <w:r>
        <w:t>Delicias</w:t>
      </w:r>
      <w:proofErr w:type="spellEnd"/>
      <w:r>
        <w:t xml:space="preserve">; sanitation works, and other works, sometimes requesting closing the bathing water for use. In some cases the bathing waters remained closed as the maintenance work and changes in the infrastructure necessary for its proper functioning were not carried out (e.g. </w:t>
      </w:r>
      <w:proofErr w:type="spellStart"/>
      <w:r>
        <w:t>Piscina</w:t>
      </w:r>
      <w:proofErr w:type="spellEnd"/>
      <w:r>
        <w:t xml:space="preserve"> fluvial del </w:t>
      </w:r>
      <w:proofErr w:type="spellStart"/>
      <w:r>
        <w:t>rio</w:t>
      </w:r>
      <w:proofErr w:type="spellEnd"/>
      <w:r>
        <w:t xml:space="preserve"> Ribera </w:t>
      </w:r>
      <w:proofErr w:type="spellStart"/>
      <w:r>
        <w:t>Salada</w:t>
      </w:r>
      <w:proofErr w:type="spellEnd"/>
      <w:r>
        <w:t>).</w:t>
      </w:r>
    </w:p>
    <w:p w:rsidR="003A6962" w:rsidRDefault="003A6962" w:rsidP="003A6962"/>
    <w:p w:rsidR="000F7052" w:rsidRDefault="000F7052" w:rsidP="00ED3BDC"/>
    <w:p w:rsidR="000F7052" w:rsidRDefault="0024729D" w:rsidP="00ED3BDC">
      <w:pPr>
        <w:pStyle w:val="Heading1"/>
      </w:pPr>
      <w:r>
        <w:t>Bathing water quality assessment presentation in online viewers</w:t>
      </w:r>
    </w:p>
    <w:p w:rsidR="000F7052" w:rsidRDefault="000F7052" w:rsidP="00ED3BDC"/>
    <w:p w:rsidR="000F7052"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2" w:history="1">
        <w:r>
          <w:rPr>
            <w:rStyle w:val="Hyperlink"/>
          </w:rPr>
          <w:t>http://ec.europa.eu/environment/water/index_en.htm</w:t>
        </w:r>
      </w:hyperlink>
      <w:r>
        <w:t>.</w:t>
      </w:r>
    </w:p>
    <w:p w:rsidR="000F7052" w:rsidRDefault="000F7052" w:rsidP="00EC573D"/>
    <w:p w:rsidR="000F7052" w:rsidRDefault="003E2BA0" w:rsidP="003E2BA0">
      <w:r>
        <w:t>The bathing water section of the Water Information System for Europe (WISE) which is accessible at the EEA bathing water website (</w:t>
      </w:r>
      <w:hyperlink r:id="rId13"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0F7052" w:rsidRDefault="002B438D" w:rsidP="003E2BA0">
      <w:r>
        <w:br w:type="page"/>
      </w:r>
    </w:p>
    <w:p w:rsidR="000F7052" w:rsidRDefault="002B438D" w:rsidP="00ED3BDC">
      <w:pPr>
        <w:rPr>
          <w:b/>
          <w:sz w:val="28"/>
        </w:rPr>
      </w:pPr>
      <w:r>
        <w:rPr>
          <w:b/>
          <w:sz w:val="28"/>
        </w:rPr>
        <w:lastRenderedPageBreak/>
        <w:t>Appendix 1: Results of bathing water quality in Spain from 2014 to 2017</w:t>
      </w:r>
    </w:p>
    <w:p w:rsidR="000F7052" w:rsidRDefault="000F7052" w:rsidP="00ED3BDC"/>
    <w:p w:rsidR="000F7052"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0F7052" w:rsidTr="005F5E3F">
        <w:tc>
          <w:tcPr>
            <w:tcW w:w="1276" w:type="dxa"/>
            <w:gridSpan w:val="2"/>
            <w:vMerge w:val="restart"/>
            <w:shd w:val="clear" w:color="auto" w:fill="F2F2F2" w:themeFill="background1" w:themeFillShade="F2"/>
          </w:tcPr>
          <w:p w:rsidR="000F7052" w:rsidRDefault="000F7052"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0F7052" w:rsidRDefault="005F5E3F" w:rsidP="00B853E1">
            <w:pPr>
              <w:jc w:val="center"/>
              <w:rPr>
                <w:rFonts w:asciiTheme="minorHAnsi" w:hAnsiTheme="minorHAnsi"/>
                <w:b/>
                <w:sz w:val="20"/>
                <w:szCs w:val="20"/>
              </w:rPr>
            </w:pPr>
            <w:r>
              <w:rPr>
                <w:rFonts w:asciiTheme="minorHAnsi" w:hAnsiTheme="minorHAnsi"/>
                <w:b/>
                <w:sz w:val="20"/>
                <w:szCs w:val="20"/>
              </w:rPr>
              <w:t>Total</w:t>
            </w:r>
          </w:p>
          <w:p w:rsidR="000F7052" w:rsidRDefault="005F5E3F" w:rsidP="00B853E1">
            <w:pPr>
              <w:jc w:val="center"/>
              <w:rPr>
                <w:rFonts w:asciiTheme="minorHAnsi" w:hAnsiTheme="minorHAnsi"/>
                <w:b/>
                <w:sz w:val="20"/>
                <w:szCs w:val="20"/>
              </w:rPr>
            </w:pPr>
            <w:r>
              <w:rPr>
                <w:rFonts w:asciiTheme="minorHAnsi" w:hAnsiTheme="minorHAnsi"/>
                <w:b/>
                <w:sz w:val="20"/>
                <w:szCs w:val="20"/>
              </w:rPr>
              <w:t>number</w:t>
            </w:r>
          </w:p>
          <w:p w:rsidR="000F7052" w:rsidRDefault="005F5E3F" w:rsidP="00B853E1">
            <w:pPr>
              <w:jc w:val="center"/>
              <w:rPr>
                <w:rFonts w:asciiTheme="minorHAnsi" w:hAnsiTheme="minorHAnsi"/>
                <w:b/>
                <w:sz w:val="20"/>
                <w:szCs w:val="20"/>
              </w:rPr>
            </w:pPr>
            <w:r>
              <w:rPr>
                <w:rFonts w:asciiTheme="minorHAnsi" w:hAnsiTheme="minorHAnsi"/>
                <w:b/>
                <w:sz w:val="20"/>
                <w:szCs w:val="20"/>
              </w:rPr>
              <w:t>of</w:t>
            </w:r>
          </w:p>
          <w:p w:rsidR="000F7052" w:rsidRDefault="005F5E3F" w:rsidP="00B853E1">
            <w:pPr>
              <w:jc w:val="center"/>
              <w:rPr>
                <w:rFonts w:asciiTheme="minorHAnsi" w:hAnsiTheme="minorHAnsi"/>
                <w:b/>
                <w:sz w:val="20"/>
                <w:szCs w:val="20"/>
              </w:rPr>
            </w:pPr>
            <w:r>
              <w:rPr>
                <w:rFonts w:asciiTheme="minorHAnsi" w:hAnsiTheme="minorHAnsi"/>
                <w:b/>
                <w:sz w:val="20"/>
                <w:szCs w:val="20"/>
              </w:rPr>
              <w:t>bathing</w:t>
            </w:r>
          </w:p>
          <w:p w:rsidR="000F7052"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0F7052"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0F7052" w:rsidRDefault="005F5E3F" w:rsidP="00B853E1">
            <w:pPr>
              <w:jc w:val="center"/>
              <w:rPr>
                <w:rFonts w:asciiTheme="minorHAnsi" w:hAnsiTheme="minorHAnsi"/>
                <w:b/>
                <w:sz w:val="20"/>
                <w:szCs w:val="20"/>
              </w:rPr>
            </w:pPr>
            <w:r>
              <w:rPr>
                <w:rFonts w:asciiTheme="minorHAnsi" w:hAnsiTheme="minorHAnsi"/>
                <w:b/>
                <w:sz w:val="20"/>
                <w:szCs w:val="20"/>
              </w:rPr>
              <w:t>At least</w:t>
            </w:r>
          </w:p>
          <w:p w:rsidR="000F7052" w:rsidRDefault="005F5E3F" w:rsidP="00B853E1">
            <w:pPr>
              <w:jc w:val="center"/>
              <w:rPr>
                <w:rFonts w:asciiTheme="minorHAnsi" w:hAnsiTheme="minorHAnsi"/>
                <w:b/>
                <w:sz w:val="20"/>
                <w:szCs w:val="20"/>
              </w:rPr>
            </w:pPr>
            <w:r>
              <w:rPr>
                <w:rFonts w:asciiTheme="minorHAnsi" w:hAnsiTheme="minorHAnsi"/>
                <w:b/>
                <w:sz w:val="20"/>
                <w:szCs w:val="20"/>
              </w:rPr>
              <w:t>sufficient</w:t>
            </w:r>
          </w:p>
          <w:p w:rsidR="000F7052"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0F7052"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0F7052" w:rsidRDefault="005F5E3F" w:rsidP="00B853E1">
            <w:pPr>
              <w:jc w:val="center"/>
              <w:rPr>
                <w:rFonts w:asciiTheme="minorHAnsi" w:hAnsiTheme="minorHAnsi"/>
                <w:b/>
                <w:sz w:val="20"/>
                <w:szCs w:val="20"/>
              </w:rPr>
            </w:pPr>
            <w:r>
              <w:rPr>
                <w:rFonts w:asciiTheme="minorHAnsi" w:hAnsiTheme="minorHAnsi"/>
                <w:b/>
                <w:sz w:val="20"/>
                <w:szCs w:val="20"/>
              </w:rPr>
              <w:t>Quality</w:t>
            </w:r>
          </w:p>
          <w:p w:rsidR="000F7052"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0F7052"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0F7052"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0F7052" w:rsidRDefault="005F5E3F" w:rsidP="00B853E1">
            <w:pPr>
              <w:jc w:val="center"/>
              <w:rPr>
                <w:rFonts w:asciiTheme="minorHAnsi" w:hAnsiTheme="minorHAnsi"/>
                <w:b/>
                <w:sz w:val="20"/>
                <w:szCs w:val="20"/>
              </w:rPr>
            </w:pPr>
            <w:r>
              <w:rPr>
                <w:rFonts w:asciiTheme="minorHAnsi" w:hAnsiTheme="minorHAnsi"/>
                <w:b/>
                <w:sz w:val="20"/>
                <w:szCs w:val="20"/>
              </w:rPr>
              <w:t>/new bathing</w:t>
            </w:r>
          </w:p>
          <w:p w:rsidR="000F7052" w:rsidRDefault="005F5E3F" w:rsidP="00B853E1">
            <w:pPr>
              <w:jc w:val="center"/>
              <w:rPr>
                <w:rFonts w:asciiTheme="minorHAnsi" w:hAnsiTheme="minorHAnsi"/>
                <w:b/>
                <w:sz w:val="20"/>
                <w:szCs w:val="20"/>
              </w:rPr>
            </w:pPr>
            <w:r>
              <w:rPr>
                <w:rFonts w:asciiTheme="minorHAnsi" w:hAnsiTheme="minorHAnsi"/>
                <w:b/>
                <w:sz w:val="20"/>
                <w:szCs w:val="20"/>
              </w:rPr>
              <w:t>waters/bathing</w:t>
            </w:r>
          </w:p>
          <w:p w:rsidR="000F7052"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0F7052" w:rsidTr="005F5E3F">
        <w:tc>
          <w:tcPr>
            <w:tcW w:w="1276" w:type="dxa"/>
            <w:gridSpan w:val="2"/>
            <w:vMerge/>
            <w:tcBorders>
              <w:bottom w:val="single" w:sz="4" w:space="0" w:color="808080" w:themeColor="background1" w:themeShade="80"/>
            </w:tcBorders>
            <w:shd w:val="clear" w:color="auto" w:fill="F2F2F2" w:themeFill="background1" w:themeFillShade="F2"/>
          </w:tcPr>
          <w:p w:rsidR="000F7052" w:rsidRDefault="000F7052"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0F7052" w:rsidRDefault="000F7052"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0F7052"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0F7052"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0F7052"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0F7052"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0F7052"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0F7052"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0F7052"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0F7052" w:rsidRDefault="005F5E3F" w:rsidP="00430B97">
            <w:pPr>
              <w:jc w:val="center"/>
              <w:rPr>
                <w:rFonts w:asciiTheme="minorHAnsi" w:hAnsiTheme="minorHAnsi"/>
                <w:b/>
                <w:sz w:val="20"/>
                <w:szCs w:val="20"/>
              </w:rPr>
            </w:pPr>
            <w:r>
              <w:rPr>
                <w:rFonts w:asciiTheme="minorHAnsi" w:hAnsiTheme="minorHAnsi"/>
                <w:b/>
                <w:sz w:val="20"/>
                <w:szCs w:val="20"/>
              </w:rPr>
              <w:t>%</w:t>
            </w:r>
          </w:p>
        </w:tc>
      </w:tr>
      <w:tr w:rsidR="000F7052"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0F7052" w:rsidRDefault="005F5E3F" w:rsidP="003A6962">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1942</w:t>
            </w:r>
          </w:p>
        </w:tc>
        <w:tc>
          <w:tcPr>
            <w:tcW w:w="939"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1663</w:t>
            </w:r>
          </w:p>
        </w:tc>
        <w:tc>
          <w:tcPr>
            <w:tcW w:w="904"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85.6</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1882</w:t>
            </w:r>
          </w:p>
        </w:tc>
        <w:tc>
          <w:tcPr>
            <w:tcW w:w="99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96.9</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37</w:t>
            </w: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1.9</w:t>
            </w:r>
          </w:p>
        </w:tc>
        <w:tc>
          <w:tcPr>
            <w:tcW w:w="90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23</w:t>
            </w:r>
          </w:p>
        </w:tc>
        <w:tc>
          <w:tcPr>
            <w:tcW w:w="94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1.2</w:t>
            </w:r>
          </w:p>
        </w:tc>
      </w:tr>
      <w:tr w:rsidR="000F705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0F7052" w:rsidRDefault="005F5E3F" w:rsidP="005C19AE">
            <w:pPr>
              <w:jc w:val="center"/>
              <w:rPr>
                <w:rFonts w:asciiTheme="minorHAnsi" w:hAnsiTheme="minorHAnsi"/>
                <w:sz w:val="20"/>
                <w:szCs w:val="20"/>
              </w:rPr>
            </w:pPr>
            <w:r>
              <w:rPr>
                <w:rFonts w:asciiTheme="minorHAnsi" w:hAnsiTheme="minorHAnsi"/>
                <w:sz w:val="20"/>
                <w:szCs w:val="20"/>
              </w:rPr>
              <w:t>Coastal</w:t>
            </w:r>
          </w:p>
          <w:p w:rsidR="000F7052" w:rsidRDefault="000F7052"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1948</w:t>
            </w:r>
          </w:p>
        </w:tc>
        <w:tc>
          <w:tcPr>
            <w:tcW w:w="939"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1696</w:t>
            </w:r>
          </w:p>
        </w:tc>
        <w:tc>
          <w:tcPr>
            <w:tcW w:w="904"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87.1</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1899</w:t>
            </w:r>
          </w:p>
        </w:tc>
        <w:tc>
          <w:tcPr>
            <w:tcW w:w="99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97.5</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29</w:t>
            </w: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1.5</w:t>
            </w:r>
          </w:p>
        </w:tc>
        <w:tc>
          <w:tcPr>
            <w:tcW w:w="90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w:t>
            </w:r>
          </w:p>
        </w:tc>
        <w:tc>
          <w:tcPr>
            <w:tcW w:w="94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1.0</w:t>
            </w:r>
          </w:p>
        </w:tc>
      </w:tr>
      <w:tr w:rsidR="000F705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0F7052" w:rsidRDefault="005F5E3F" w:rsidP="005C19AE">
            <w:pPr>
              <w:jc w:val="center"/>
              <w:rPr>
                <w:rFonts w:asciiTheme="minorHAnsi" w:hAnsiTheme="minorHAnsi"/>
                <w:sz w:val="20"/>
                <w:szCs w:val="20"/>
              </w:rPr>
            </w:pPr>
            <w:r>
              <w:rPr>
                <w:rFonts w:asciiTheme="minorHAnsi" w:hAnsiTheme="minorHAnsi"/>
                <w:sz w:val="20"/>
                <w:szCs w:val="20"/>
              </w:rPr>
              <w:t>Coastal</w:t>
            </w:r>
          </w:p>
          <w:p w:rsidR="000F7052" w:rsidRDefault="000F7052"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1949</w:t>
            </w:r>
          </w:p>
        </w:tc>
        <w:tc>
          <w:tcPr>
            <w:tcW w:w="939"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1732</w:t>
            </w:r>
          </w:p>
        </w:tc>
        <w:tc>
          <w:tcPr>
            <w:tcW w:w="904"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88.9</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1912</w:t>
            </w:r>
          </w:p>
        </w:tc>
        <w:tc>
          <w:tcPr>
            <w:tcW w:w="99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98.1</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19</w:t>
            </w: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1.0</w:t>
            </w:r>
          </w:p>
        </w:tc>
        <w:tc>
          <w:tcPr>
            <w:tcW w:w="90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18</w:t>
            </w:r>
          </w:p>
        </w:tc>
        <w:tc>
          <w:tcPr>
            <w:tcW w:w="94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0.9</w:t>
            </w:r>
          </w:p>
        </w:tc>
      </w:tr>
      <w:tr w:rsidR="000F705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0F7052" w:rsidRDefault="005F5E3F" w:rsidP="005C19AE">
            <w:pPr>
              <w:jc w:val="center"/>
              <w:rPr>
                <w:rFonts w:asciiTheme="minorHAnsi" w:hAnsiTheme="minorHAnsi"/>
                <w:sz w:val="20"/>
                <w:szCs w:val="20"/>
              </w:rPr>
            </w:pPr>
            <w:r>
              <w:rPr>
                <w:rFonts w:asciiTheme="minorHAnsi" w:hAnsiTheme="minorHAnsi"/>
                <w:sz w:val="20"/>
                <w:szCs w:val="20"/>
              </w:rPr>
              <w:t>Coastal</w:t>
            </w:r>
          </w:p>
          <w:p w:rsidR="000F7052" w:rsidRDefault="000F7052"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1960</w:t>
            </w:r>
          </w:p>
        </w:tc>
        <w:tc>
          <w:tcPr>
            <w:tcW w:w="939"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1772</w:t>
            </w:r>
          </w:p>
        </w:tc>
        <w:tc>
          <w:tcPr>
            <w:tcW w:w="904"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90.4</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1928</w:t>
            </w:r>
          </w:p>
        </w:tc>
        <w:tc>
          <w:tcPr>
            <w:tcW w:w="99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98.4</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11</w:t>
            </w: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0.6</w:t>
            </w:r>
          </w:p>
        </w:tc>
        <w:tc>
          <w:tcPr>
            <w:tcW w:w="90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21</w:t>
            </w:r>
          </w:p>
        </w:tc>
        <w:tc>
          <w:tcPr>
            <w:tcW w:w="94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1.1</w:t>
            </w:r>
          </w:p>
        </w:tc>
      </w:tr>
      <w:tr w:rsidR="000F7052"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0F7052" w:rsidRDefault="005F5E3F" w:rsidP="003A6962">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236</w:t>
            </w:r>
          </w:p>
        </w:tc>
        <w:tc>
          <w:tcPr>
            <w:tcW w:w="939"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117</w:t>
            </w:r>
          </w:p>
        </w:tc>
        <w:tc>
          <w:tcPr>
            <w:tcW w:w="904"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49.6</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194</w:t>
            </w:r>
          </w:p>
        </w:tc>
        <w:tc>
          <w:tcPr>
            <w:tcW w:w="99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82.2</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30</w:t>
            </w: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12.7</w:t>
            </w:r>
          </w:p>
        </w:tc>
        <w:tc>
          <w:tcPr>
            <w:tcW w:w="90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12</w:t>
            </w:r>
          </w:p>
        </w:tc>
        <w:tc>
          <w:tcPr>
            <w:tcW w:w="94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5.1</w:t>
            </w:r>
          </w:p>
        </w:tc>
      </w:tr>
      <w:tr w:rsidR="000F705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0F7052"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0F7052" w:rsidRDefault="000F7052"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241</w:t>
            </w:r>
          </w:p>
        </w:tc>
        <w:tc>
          <w:tcPr>
            <w:tcW w:w="939"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125</w:t>
            </w:r>
          </w:p>
        </w:tc>
        <w:tc>
          <w:tcPr>
            <w:tcW w:w="904"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51.9</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201</w:t>
            </w:r>
          </w:p>
        </w:tc>
        <w:tc>
          <w:tcPr>
            <w:tcW w:w="99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83.4</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29</w:t>
            </w: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12.0</w:t>
            </w:r>
          </w:p>
        </w:tc>
        <w:tc>
          <w:tcPr>
            <w:tcW w:w="90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11</w:t>
            </w:r>
          </w:p>
        </w:tc>
        <w:tc>
          <w:tcPr>
            <w:tcW w:w="94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4.6</w:t>
            </w:r>
          </w:p>
        </w:tc>
      </w:tr>
      <w:tr w:rsidR="000F705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0F7052"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0F7052" w:rsidRDefault="000F7052"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242</w:t>
            </w:r>
          </w:p>
        </w:tc>
        <w:tc>
          <w:tcPr>
            <w:tcW w:w="939"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121</w:t>
            </w:r>
          </w:p>
        </w:tc>
        <w:tc>
          <w:tcPr>
            <w:tcW w:w="904"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50.0</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204</w:t>
            </w:r>
          </w:p>
        </w:tc>
        <w:tc>
          <w:tcPr>
            <w:tcW w:w="99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84.3</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w:t>
            </w: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8.3</w:t>
            </w:r>
          </w:p>
        </w:tc>
        <w:tc>
          <w:tcPr>
            <w:tcW w:w="90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18</w:t>
            </w:r>
          </w:p>
        </w:tc>
        <w:tc>
          <w:tcPr>
            <w:tcW w:w="94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7.4</w:t>
            </w:r>
          </w:p>
        </w:tc>
      </w:tr>
      <w:tr w:rsidR="000F7052"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0F7052"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0F7052" w:rsidRDefault="000F7052"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259</w:t>
            </w:r>
          </w:p>
        </w:tc>
        <w:tc>
          <w:tcPr>
            <w:tcW w:w="939"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124</w:t>
            </w:r>
          </w:p>
        </w:tc>
        <w:tc>
          <w:tcPr>
            <w:tcW w:w="904"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47.9</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205</w:t>
            </w:r>
          </w:p>
        </w:tc>
        <w:tc>
          <w:tcPr>
            <w:tcW w:w="99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79.2</w:t>
            </w:r>
          </w:p>
        </w:tc>
        <w:tc>
          <w:tcPr>
            <w:tcW w:w="992"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27</w:t>
            </w:r>
          </w:p>
        </w:tc>
        <w:tc>
          <w:tcPr>
            <w:tcW w:w="85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10.4</w:t>
            </w:r>
          </w:p>
        </w:tc>
        <w:tc>
          <w:tcPr>
            <w:tcW w:w="903"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27</w:t>
            </w:r>
          </w:p>
        </w:tc>
        <w:tc>
          <w:tcPr>
            <w:tcW w:w="940" w:type="dxa"/>
            <w:tcBorders>
              <w:top w:val="single" w:sz="4" w:space="0" w:color="808080" w:themeColor="background1" w:themeShade="80"/>
              <w:bottom w:val="single" w:sz="4" w:space="0" w:color="808080" w:themeColor="background1" w:themeShade="80"/>
            </w:tcBorders>
            <w:vAlign w:val="center"/>
          </w:tcPr>
          <w:p w:rsidR="000F7052" w:rsidRDefault="005F5E3F" w:rsidP="002E7263">
            <w:pPr>
              <w:jc w:val="right"/>
              <w:rPr>
                <w:rFonts w:asciiTheme="minorHAnsi" w:hAnsiTheme="minorHAnsi"/>
                <w:sz w:val="20"/>
                <w:szCs w:val="20"/>
              </w:rPr>
            </w:pPr>
            <w:r>
              <w:rPr>
                <w:rFonts w:asciiTheme="minorHAnsi" w:hAnsiTheme="minorHAnsi"/>
                <w:sz w:val="20"/>
                <w:szCs w:val="20"/>
              </w:rPr>
              <w:t>10.4</w:t>
            </w:r>
          </w:p>
        </w:tc>
      </w:tr>
      <w:tr w:rsidR="000F7052" w:rsidTr="005F5E3F">
        <w:trPr>
          <w:cantSplit/>
          <w:trHeight w:val="425"/>
        </w:trPr>
        <w:tc>
          <w:tcPr>
            <w:tcW w:w="426" w:type="dxa"/>
            <w:vMerge w:val="restart"/>
            <w:tcBorders>
              <w:top w:val="single" w:sz="4" w:space="0" w:color="808080" w:themeColor="background1" w:themeShade="80"/>
            </w:tcBorders>
            <w:textDirection w:val="btLr"/>
            <w:vAlign w:val="center"/>
          </w:tcPr>
          <w:p w:rsidR="000F7052" w:rsidRDefault="005F5E3F" w:rsidP="003A6962">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2178</w:t>
            </w:r>
          </w:p>
        </w:tc>
        <w:tc>
          <w:tcPr>
            <w:tcW w:w="939"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1780</w:t>
            </w:r>
          </w:p>
        </w:tc>
        <w:tc>
          <w:tcPr>
            <w:tcW w:w="904"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81.7</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2076</w:t>
            </w:r>
          </w:p>
        </w:tc>
        <w:tc>
          <w:tcPr>
            <w:tcW w:w="993"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95.3</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67</w:t>
            </w:r>
          </w:p>
        </w:tc>
        <w:tc>
          <w:tcPr>
            <w:tcW w:w="85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3.1</w:t>
            </w:r>
          </w:p>
        </w:tc>
        <w:tc>
          <w:tcPr>
            <w:tcW w:w="903"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35</w:t>
            </w:r>
          </w:p>
        </w:tc>
        <w:tc>
          <w:tcPr>
            <w:tcW w:w="94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1.6</w:t>
            </w:r>
          </w:p>
        </w:tc>
      </w:tr>
      <w:tr w:rsidR="000F7052" w:rsidTr="005F5E3F">
        <w:trPr>
          <w:cantSplit/>
          <w:trHeight w:val="425"/>
        </w:trPr>
        <w:tc>
          <w:tcPr>
            <w:tcW w:w="426" w:type="dxa"/>
            <w:vMerge/>
            <w:tcBorders>
              <w:top w:val="single" w:sz="4" w:space="0" w:color="808080" w:themeColor="background1" w:themeShade="80"/>
            </w:tcBorders>
            <w:textDirection w:val="btLr"/>
            <w:vAlign w:val="center"/>
          </w:tcPr>
          <w:p w:rsidR="000F7052"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0F7052" w:rsidRDefault="000F7052"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2189</w:t>
            </w:r>
          </w:p>
        </w:tc>
        <w:tc>
          <w:tcPr>
            <w:tcW w:w="939"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1821</w:t>
            </w:r>
          </w:p>
        </w:tc>
        <w:tc>
          <w:tcPr>
            <w:tcW w:w="904"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83.2</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2100</w:t>
            </w:r>
          </w:p>
        </w:tc>
        <w:tc>
          <w:tcPr>
            <w:tcW w:w="993"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95.9</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58</w:t>
            </w:r>
          </w:p>
        </w:tc>
        <w:tc>
          <w:tcPr>
            <w:tcW w:w="85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2.6</w:t>
            </w:r>
          </w:p>
        </w:tc>
        <w:tc>
          <w:tcPr>
            <w:tcW w:w="903"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31</w:t>
            </w:r>
          </w:p>
        </w:tc>
        <w:tc>
          <w:tcPr>
            <w:tcW w:w="94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1.4</w:t>
            </w:r>
          </w:p>
        </w:tc>
      </w:tr>
      <w:tr w:rsidR="000F7052" w:rsidTr="005F5E3F">
        <w:trPr>
          <w:cantSplit/>
          <w:trHeight w:val="425"/>
        </w:trPr>
        <w:tc>
          <w:tcPr>
            <w:tcW w:w="426" w:type="dxa"/>
            <w:vMerge/>
            <w:tcBorders>
              <w:top w:val="single" w:sz="4" w:space="0" w:color="808080" w:themeColor="background1" w:themeShade="80"/>
            </w:tcBorders>
            <w:textDirection w:val="btLr"/>
            <w:vAlign w:val="center"/>
          </w:tcPr>
          <w:p w:rsidR="000F7052"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0F7052" w:rsidRDefault="000F7052"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2191</w:t>
            </w:r>
          </w:p>
        </w:tc>
        <w:tc>
          <w:tcPr>
            <w:tcW w:w="939"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1853</w:t>
            </w:r>
          </w:p>
        </w:tc>
        <w:tc>
          <w:tcPr>
            <w:tcW w:w="904"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84.6</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2116</w:t>
            </w:r>
          </w:p>
        </w:tc>
        <w:tc>
          <w:tcPr>
            <w:tcW w:w="993"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96.6</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39</w:t>
            </w:r>
          </w:p>
        </w:tc>
        <w:tc>
          <w:tcPr>
            <w:tcW w:w="85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1.8</w:t>
            </w:r>
          </w:p>
        </w:tc>
        <w:tc>
          <w:tcPr>
            <w:tcW w:w="903"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36</w:t>
            </w:r>
          </w:p>
        </w:tc>
        <w:tc>
          <w:tcPr>
            <w:tcW w:w="94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1.6</w:t>
            </w:r>
          </w:p>
        </w:tc>
      </w:tr>
      <w:tr w:rsidR="000F7052" w:rsidTr="005F5E3F">
        <w:trPr>
          <w:cantSplit/>
          <w:trHeight w:val="425"/>
        </w:trPr>
        <w:tc>
          <w:tcPr>
            <w:tcW w:w="426" w:type="dxa"/>
            <w:vMerge/>
            <w:tcBorders>
              <w:top w:val="single" w:sz="4" w:space="0" w:color="808080" w:themeColor="background1" w:themeShade="80"/>
            </w:tcBorders>
            <w:textDirection w:val="btLr"/>
            <w:vAlign w:val="center"/>
          </w:tcPr>
          <w:p w:rsidR="000F7052"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0F7052" w:rsidRDefault="000F7052"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2219</w:t>
            </w:r>
          </w:p>
        </w:tc>
        <w:tc>
          <w:tcPr>
            <w:tcW w:w="939"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1896</w:t>
            </w:r>
          </w:p>
        </w:tc>
        <w:tc>
          <w:tcPr>
            <w:tcW w:w="904"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85.4</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2133</w:t>
            </w:r>
          </w:p>
        </w:tc>
        <w:tc>
          <w:tcPr>
            <w:tcW w:w="993"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96.1</w:t>
            </w:r>
          </w:p>
        </w:tc>
        <w:tc>
          <w:tcPr>
            <w:tcW w:w="992"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38</w:t>
            </w:r>
          </w:p>
        </w:tc>
        <w:tc>
          <w:tcPr>
            <w:tcW w:w="85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1.7</w:t>
            </w:r>
          </w:p>
        </w:tc>
        <w:tc>
          <w:tcPr>
            <w:tcW w:w="903"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48</w:t>
            </w:r>
          </w:p>
        </w:tc>
        <w:tc>
          <w:tcPr>
            <w:tcW w:w="940" w:type="dxa"/>
            <w:tcBorders>
              <w:top w:val="single" w:sz="4" w:space="0" w:color="808080" w:themeColor="background1" w:themeShade="80"/>
            </w:tcBorders>
            <w:vAlign w:val="center"/>
          </w:tcPr>
          <w:p w:rsidR="000F7052" w:rsidRDefault="005F5E3F" w:rsidP="002E7263">
            <w:pPr>
              <w:jc w:val="right"/>
              <w:rPr>
                <w:rFonts w:asciiTheme="minorHAnsi" w:hAnsiTheme="minorHAnsi"/>
                <w:b/>
                <w:sz w:val="20"/>
                <w:szCs w:val="20"/>
              </w:rPr>
            </w:pPr>
            <w:r>
              <w:rPr>
                <w:rFonts w:asciiTheme="minorHAnsi" w:hAnsiTheme="minorHAnsi"/>
                <w:b/>
                <w:sz w:val="20"/>
                <w:szCs w:val="20"/>
              </w:rPr>
              <w:t>2.2</w:t>
            </w:r>
          </w:p>
        </w:tc>
      </w:tr>
    </w:tbl>
    <w:p w:rsidR="000F7052"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0F7052" w:rsidRDefault="002B438D" w:rsidP="00ED3BDC">
      <w:r>
        <w:br w:type="page"/>
      </w:r>
    </w:p>
    <w:p w:rsidR="000F7052" w:rsidRDefault="002B438D" w:rsidP="00ED3BDC">
      <w:pPr>
        <w:rPr>
          <w:b/>
          <w:sz w:val="28"/>
        </w:rPr>
      </w:pPr>
      <w:r>
        <w:rPr>
          <w:b/>
          <w:sz w:val="28"/>
        </w:rPr>
        <w:lastRenderedPageBreak/>
        <w:t>Appendix 2: Bathing water quality map</w:t>
      </w:r>
    </w:p>
    <w:p w:rsidR="000F7052" w:rsidRDefault="000F7052" w:rsidP="00ED3BDC"/>
    <w:p w:rsidR="000F7052" w:rsidRDefault="003A6962" w:rsidP="00ED3BDC">
      <w:r>
        <w:rPr>
          <w:noProof/>
          <w:lang w:eastAsia="en-GB"/>
        </w:rPr>
        <w:drawing>
          <wp:inline distT="0" distB="0" distL="0" distR="0">
            <wp:extent cx="6188710" cy="8008919"/>
            <wp:effectExtent l="0" t="0" r="2540" b="0"/>
            <wp:docPr id="4" name="Picture 4" descr="D:\Projekti\BWD\BWD 2017\National reports\GIS\map\NationalReports\PNG\20180420\ES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ES_20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0F7052" w:rsidSect="00344240">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F92" w:rsidRDefault="00377F92" w:rsidP="00ED3BDC">
      <w:r>
        <w:separator/>
      </w:r>
    </w:p>
  </w:endnote>
  <w:endnote w:type="continuationSeparator" w:id="0">
    <w:p w:rsidR="00377F92" w:rsidRDefault="00377F92" w:rsidP="00ED3BDC">
      <w:r>
        <w:continuationSeparator/>
      </w:r>
    </w:p>
  </w:endnote>
  <w:endnote w:type="continuationNotice" w:id="1">
    <w:p w:rsidR="00377F92" w:rsidRDefault="00377F92"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052" w:rsidRDefault="000F7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052" w:rsidRDefault="000F70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052" w:rsidRDefault="000F7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F92" w:rsidRDefault="00377F92" w:rsidP="00ED3BDC">
      <w:r>
        <w:separator/>
      </w:r>
    </w:p>
  </w:footnote>
  <w:footnote w:type="continuationSeparator" w:id="0">
    <w:p w:rsidR="00377F92" w:rsidRDefault="00377F92" w:rsidP="00ED3BDC">
      <w:r>
        <w:continuationSeparator/>
      </w:r>
    </w:p>
  </w:footnote>
  <w:footnote w:type="continuationNotice" w:id="1">
    <w:p w:rsidR="00377F92" w:rsidRDefault="00377F92"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052" w:rsidRDefault="000F7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052" w:rsidRDefault="000F70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052"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0F7052"/>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77F92"/>
    <w:rsid w:val="00393B2B"/>
    <w:rsid w:val="003A6962"/>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ea.europa.eu/themes/water/interactive/bathing/state-of-bathing-wate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c.europa.eu/environment/water/index_en.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nayadeciudadano.msssi.es/Splayas/ciudadano/indexCiudadanoAction.do" TargetMode="External"/><Relationship Id="rId14" Type="http://schemas.openxmlformats.org/officeDocument/2006/relationships/image" Target="media/image1.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0.68279999999999996</c:v>
                </c:pt>
                <c:pt idx="1">
                  <c:v>0.7339</c:v>
                </c:pt>
                <c:pt idx="2">
                  <c:v>0.79769999999999996</c:v>
                </c:pt>
                <c:pt idx="3">
                  <c:v>0.83409999999999995</c:v>
                </c:pt>
                <c:pt idx="4">
                  <c:v>0.84640000000000004</c:v>
                </c:pt>
                <c:pt idx="5">
                  <c:v>0.85299999999999998</c:v>
                </c:pt>
                <c:pt idx="6">
                  <c:v>0.85</c:v>
                </c:pt>
                <c:pt idx="7">
                  <c:v>0.85589999999999999</c:v>
                </c:pt>
                <c:pt idx="8">
                  <c:v>0.87739999999999996</c:v>
                </c:pt>
                <c:pt idx="9">
                  <c:v>0.88800000000000001</c:v>
                </c:pt>
                <c:pt idx="10">
                  <c:v>0.8871</c:v>
                </c:pt>
                <c:pt idx="11">
                  <c:v>0.8861</c:v>
                </c:pt>
                <c:pt idx="12">
                  <c:v>0.88590000000000002</c:v>
                </c:pt>
                <c:pt idx="13">
                  <c:v>0.89490000000000003</c:v>
                </c:pt>
                <c:pt idx="14">
                  <c:v>0.92379999999999995</c:v>
                </c:pt>
                <c:pt idx="15">
                  <c:v>0.92700000000000005</c:v>
                </c:pt>
                <c:pt idx="16">
                  <c:v>0.88690000000000002</c:v>
                </c:pt>
                <c:pt idx="17">
                  <c:v>0.83409999999999995</c:v>
                </c:pt>
                <c:pt idx="18">
                  <c:v>0.88529999999999998</c:v>
                </c:pt>
                <c:pt idx="19">
                  <c:v>0.82589999999999997</c:v>
                </c:pt>
                <c:pt idx="20">
                  <c:v>0.84740000000000004</c:v>
                </c:pt>
                <c:pt idx="21">
                  <c:v>0.86809999999999998</c:v>
                </c:pt>
                <c:pt idx="22">
                  <c:v>0.87209999999999999</c:v>
                </c:pt>
                <c:pt idx="23">
                  <c:v>0.85629999999999995</c:v>
                </c:pt>
                <c:pt idx="24">
                  <c:v>0.87060000000000004</c:v>
                </c:pt>
                <c:pt idx="25">
                  <c:v>0.88870000000000005</c:v>
                </c:pt>
                <c:pt idx="26">
                  <c:v>0.90410000000000001</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0.88859999999999995</c:v>
                </c:pt>
                <c:pt idx="1">
                  <c:v>0.92800000000000005</c:v>
                </c:pt>
                <c:pt idx="2">
                  <c:v>0.95440000000000003</c:v>
                </c:pt>
                <c:pt idx="3">
                  <c:v>0.96099999999999997</c:v>
                </c:pt>
                <c:pt idx="4">
                  <c:v>0.9657</c:v>
                </c:pt>
                <c:pt idx="5">
                  <c:v>0.96499999999999997</c:v>
                </c:pt>
                <c:pt idx="6">
                  <c:v>0.9647</c:v>
                </c:pt>
                <c:pt idx="7">
                  <c:v>0.97619999999999996</c:v>
                </c:pt>
                <c:pt idx="8">
                  <c:v>0.9778</c:v>
                </c:pt>
                <c:pt idx="9">
                  <c:v>0.98099999999999998</c:v>
                </c:pt>
                <c:pt idx="10">
                  <c:v>0.97989999999999999</c:v>
                </c:pt>
                <c:pt idx="11">
                  <c:v>0.98309999999999997</c:v>
                </c:pt>
                <c:pt idx="12">
                  <c:v>0.97640000000000005</c:v>
                </c:pt>
                <c:pt idx="13">
                  <c:v>0.98899999999999999</c:v>
                </c:pt>
                <c:pt idx="14">
                  <c:v>0.99119999999999997</c:v>
                </c:pt>
                <c:pt idx="15">
                  <c:v>0.98929999999999996</c:v>
                </c:pt>
                <c:pt idx="16">
                  <c:v>0.99050000000000005</c:v>
                </c:pt>
                <c:pt idx="17">
                  <c:v>0.99370000000000003</c:v>
                </c:pt>
                <c:pt idx="18">
                  <c:v>0.9859</c:v>
                </c:pt>
                <c:pt idx="19">
                  <c:v>0.94089999999999996</c:v>
                </c:pt>
                <c:pt idx="20">
                  <c:v>0.95740000000000003</c:v>
                </c:pt>
                <c:pt idx="21">
                  <c:v>0.96309999999999996</c:v>
                </c:pt>
                <c:pt idx="22">
                  <c:v>0.96940000000000004</c:v>
                </c:pt>
                <c:pt idx="23">
                  <c:v>0.96909999999999996</c:v>
                </c:pt>
                <c:pt idx="24">
                  <c:v>0.9748</c:v>
                </c:pt>
                <c:pt idx="25">
                  <c:v>0.98099999999999998</c:v>
                </c:pt>
                <c:pt idx="26">
                  <c:v>0.98370000000000002</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0.1014</c:v>
                </c:pt>
                <c:pt idx="1">
                  <c:v>7.1999999999999995E-2</c:v>
                </c:pt>
                <c:pt idx="2">
                  <c:v>4.1300000000000003E-2</c:v>
                </c:pt>
                <c:pt idx="3">
                  <c:v>3.1600000000000003E-2</c:v>
                </c:pt>
                <c:pt idx="4">
                  <c:v>2.7E-2</c:v>
                </c:pt>
                <c:pt idx="5">
                  <c:v>2.93E-2</c:v>
                </c:pt>
                <c:pt idx="6">
                  <c:v>2.0799999999999999E-2</c:v>
                </c:pt>
                <c:pt idx="7">
                  <c:v>1.8800000000000001E-2</c:v>
                </c:pt>
                <c:pt idx="8">
                  <c:v>1.9099999999999999E-2</c:v>
                </c:pt>
                <c:pt idx="9">
                  <c:v>1.47E-2</c:v>
                </c:pt>
                <c:pt idx="10">
                  <c:v>1.5900000000000001E-2</c:v>
                </c:pt>
                <c:pt idx="11">
                  <c:v>1.1299999999999999E-2</c:v>
                </c:pt>
                <c:pt idx="12">
                  <c:v>1.18E-2</c:v>
                </c:pt>
                <c:pt idx="13">
                  <c:v>7.7000000000000002E-3</c:v>
                </c:pt>
                <c:pt idx="14">
                  <c:v>7.7000000000000002E-3</c:v>
                </c:pt>
                <c:pt idx="15">
                  <c:v>7.0000000000000001E-3</c:v>
                </c:pt>
                <c:pt idx="16">
                  <c:v>8.8999999999999999E-3</c:v>
                </c:pt>
                <c:pt idx="17">
                  <c:v>2.0999999999999999E-3</c:v>
                </c:pt>
                <c:pt idx="18">
                  <c:v>4.7000000000000002E-3</c:v>
                </c:pt>
                <c:pt idx="19">
                  <c:v>6.1999999999999998E-3</c:v>
                </c:pt>
                <c:pt idx="20">
                  <c:v>3.0599999999999999E-2</c:v>
                </c:pt>
                <c:pt idx="21">
                  <c:v>2.5399999999999999E-2</c:v>
                </c:pt>
                <c:pt idx="22">
                  <c:v>2.12E-2</c:v>
                </c:pt>
                <c:pt idx="23">
                  <c:v>1.9099999999999999E-2</c:v>
                </c:pt>
                <c:pt idx="24">
                  <c:v>1.49E-2</c:v>
                </c:pt>
                <c:pt idx="25">
                  <c:v>9.7000000000000003E-3</c:v>
                </c:pt>
                <c:pt idx="26">
                  <c:v>5.5999999999999999E-3</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0.01</c:v>
                </c:pt>
                <c:pt idx="1">
                  <c:v>0</c:v>
                </c:pt>
                <c:pt idx="2">
                  <c:v>4.3E-3</c:v>
                </c:pt>
                <c:pt idx="3">
                  <c:v>7.4000000000000003E-3</c:v>
                </c:pt>
                <c:pt idx="4">
                  <c:v>7.3000000000000001E-3</c:v>
                </c:pt>
                <c:pt idx="5">
                  <c:v>5.7000000000000002E-3</c:v>
                </c:pt>
                <c:pt idx="6">
                  <c:v>1.4500000000000001E-2</c:v>
                </c:pt>
                <c:pt idx="7">
                  <c:v>5.0000000000000001E-3</c:v>
                </c:pt>
                <c:pt idx="8">
                  <c:v>3.0999999999999999E-3</c:v>
                </c:pt>
                <c:pt idx="9">
                  <c:v>4.3E-3</c:v>
                </c:pt>
                <c:pt idx="10">
                  <c:v>4.3E-3</c:v>
                </c:pt>
                <c:pt idx="11">
                  <c:v>5.5999999999999999E-3</c:v>
                </c:pt>
                <c:pt idx="12">
                  <c:v>1.18E-2</c:v>
                </c:pt>
                <c:pt idx="13">
                  <c:v>3.3E-3</c:v>
                </c:pt>
                <c:pt idx="14">
                  <c:v>1.1000000000000001E-3</c:v>
                </c:pt>
                <c:pt idx="15">
                  <c:v>3.8E-3</c:v>
                </c:pt>
                <c:pt idx="16">
                  <c:v>5.0000000000000001E-4</c:v>
                </c:pt>
                <c:pt idx="17">
                  <c:v>4.1999999999999997E-3</c:v>
                </c:pt>
                <c:pt idx="18">
                  <c:v>9.4000000000000004E-3</c:v>
                </c:pt>
                <c:pt idx="19">
                  <c:v>5.28E-2</c:v>
                </c:pt>
                <c:pt idx="20">
                  <c:v>1.1900000000000001E-2</c:v>
                </c:pt>
                <c:pt idx="21">
                  <c:v>1.14E-2</c:v>
                </c:pt>
                <c:pt idx="22">
                  <c:v>9.2999999999999992E-3</c:v>
                </c:pt>
                <c:pt idx="23">
                  <c:v>1.18E-2</c:v>
                </c:pt>
                <c:pt idx="24">
                  <c:v>1.03E-2</c:v>
                </c:pt>
                <c:pt idx="25">
                  <c:v>9.1999999999999998E-3</c:v>
                </c:pt>
                <c:pt idx="26">
                  <c:v>1.0699999999999999E-2</c:v>
                </c:pt>
              </c:numCache>
            </c:numRef>
          </c:val>
          <c:smooth val="0"/>
        </c:ser>
        <c:dLbls>
          <c:showLegendKey val="0"/>
          <c:showVal val="0"/>
          <c:showCatName val="0"/>
          <c:showSerName val="0"/>
          <c:showPercent val="0"/>
          <c:showBubbleSize val="0"/>
        </c:dLbls>
        <c:marker val="1"/>
        <c:smooth val="0"/>
        <c:axId val="243411200"/>
        <c:axId val="243433472"/>
      </c:lineChart>
      <c:catAx>
        <c:axId val="243411200"/>
        <c:scaling>
          <c:orientation val="minMax"/>
        </c:scaling>
        <c:delete val="0"/>
        <c:axPos val="b"/>
        <c:numFmt formatCode="@" sourceLinked="0"/>
        <c:majorTickMark val="out"/>
        <c:minorTickMark val="none"/>
        <c:tickLblPos val="nextTo"/>
        <c:crossAx val="243433472"/>
        <c:crosses val="autoZero"/>
        <c:auto val="1"/>
        <c:lblAlgn val="ctr"/>
        <c:lblOffset val="100"/>
        <c:noMultiLvlLbl val="0"/>
      </c:catAx>
      <c:valAx>
        <c:axId val="243433472"/>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43411200"/>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0.37640000000000001</c:v>
                </c:pt>
                <c:pt idx="1">
                  <c:v>0.21590000000000001</c:v>
                </c:pt>
                <c:pt idx="2">
                  <c:v>0.27560000000000001</c:v>
                </c:pt>
                <c:pt idx="3">
                  <c:v>0.25719999999999998</c:v>
                </c:pt>
                <c:pt idx="4">
                  <c:v>0.31080000000000002</c:v>
                </c:pt>
                <c:pt idx="5">
                  <c:v>0.28149999999999997</c:v>
                </c:pt>
                <c:pt idx="6">
                  <c:v>0.27889999999999998</c:v>
                </c:pt>
                <c:pt idx="7">
                  <c:v>0.35349999999999998</c:v>
                </c:pt>
                <c:pt idx="8">
                  <c:v>0.31919999999999998</c:v>
                </c:pt>
                <c:pt idx="9">
                  <c:v>0.31190000000000001</c:v>
                </c:pt>
                <c:pt idx="10">
                  <c:v>0.33510000000000001</c:v>
                </c:pt>
                <c:pt idx="11">
                  <c:v>0.38119999999999998</c:v>
                </c:pt>
                <c:pt idx="12">
                  <c:v>0.42109999999999997</c:v>
                </c:pt>
                <c:pt idx="13">
                  <c:v>0.44119999999999998</c:v>
                </c:pt>
                <c:pt idx="14">
                  <c:v>0.45450000000000002</c:v>
                </c:pt>
                <c:pt idx="15">
                  <c:v>0.40939999999999999</c:v>
                </c:pt>
                <c:pt idx="16">
                  <c:v>0.37930000000000003</c:v>
                </c:pt>
                <c:pt idx="17">
                  <c:v>0.36559999999999998</c:v>
                </c:pt>
                <c:pt idx="18">
                  <c:v>0.42509999999999998</c:v>
                </c:pt>
                <c:pt idx="19">
                  <c:v>0.31780000000000003</c:v>
                </c:pt>
                <c:pt idx="20">
                  <c:v>0.44890000000000002</c:v>
                </c:pt>
                <c:pt idx="21">
                  <c:v>0.46089999999999998</c:v>
                </c:pt>
                <c:pt idx="22">
                  <c:v>0.50429999999999997</c:v>
                </c:pt>
                <c:pt idx="23">
                  <c:v>0.49580000000000002</c:v>
                </c:pt>
                <c:pt idx="24">
                  <c:v>0.51870000000000005</c:v>
                </c:pt>
                <c:pt idx="25">
                  <c:v>0.5</c:v>
                </c:pt>
                <c:pt idx="26">
                  <c:v>0.4788</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0.65680000000000005</c:v>
                </c:pt>
                <c:pt idx="1">
                  <c:v>0.60799999999999998</c:v>
                </c:pt>
                <c:pt idx="2">
                  <c:v>0.64739999999999998</c:v>
                </c:pt>
                <c:pt idx="3">
                  <c:v>0.63870000000000005</c:v>
                </c:pt>
                <c:pt idx="4">
                  <c:v>0.67120000000000002</c:v>
                </c:pt>
                <c:pt idx="5">
                  <c:v>0.64570000000000005</c:v>
                </c:pt>
                <c:pt idx="6">
                  <c:v>0.67730000000000001</c:v>
                </c:pt>
                <c:pt idx="7">
                  <c:v>0.73019999999999996</c:v>
                </c:pt>
                <c:pt idx="8">
                  <c:v>0.76529999999999998</c:v>
                </c:pt>
                <c:pt idx="9">
                  <c:v>0.79210000000000003</c:v>
                </c:pt>
                <c:pt idx="10">
                  <c:v>0.8</c:v>
                </c:pt>
                <c:pt idx="11">
                  <c:v>0.8508</c:v>
                </c:pt>
                <c:pt idx="12">
                  <c:v>0.95909999999999995</c:v>
                </c:pt>
                <c:pt idx="13">
                  <c:v>0.94710000000000005</c:v>
                </c:pt>
                <c:pt idx="14">
                  <c:v>0.96360000000000001</c:v>
                </c:pt>
                <c:pt idx="15">
                  <c:v>0.90639999999999998</c:v>
                </c:pt>
                <c:pt idx="16">
                  <c:v>0.87360000000000004</c:v>
                </c:pt>
                <c:pt idx="17">
                  <c:v>0.9355</c:v>
                </c:pt>
                <c:pt idx="18">
                  <c:v>0.93240000000000001</c:v>
                </c:pt>
                <c:pt idx="19">
                  <c:v>0.86450000000000005</c:v>
                </c:pt>
                <c:pt idx="20">
                  <c:v>0.75560000000000005</c:v>
                </c:pt>
                <c:pt idx="21">
                  <c:v>0.80869999999999997</c:v>
                </c:pt>
                <c:pt idx="22">
                  <c:v>0.83040000000000003</c:v>
                </c:pt>
                <c:pt idx="23">
                  <c:v>0.82199999999999995</c:v>
                </c:pt>
                <c:pt idx="24">
                  <c:v>0.83399999999999996</c:v>
                </c:pt>
                <c:pt idx="25">
                  <c:v>0.84299999999999997</c:v>
                </c:pt>
                <c:pt idx="26">
                  <c:v>0.79149999999999998</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0.23619999999999999</c:v>
                </c:pt>
                <c:pt idx="1">
                  <c:v>0.3654</c:v>
                </c:pt>
                <c:pt idx="2">
                  <c:v>0.27879999999999999</c:v>
                </c:pt>
                <c:pt idx="3">
                  <c:v>0.25719999999999998</c:v>
                </c:pt>
                <c:pt idx="4">
                  <c:v>0.31530000000000002</c:v>
                </c:pt>
                <c:pt idx="5">
                  <c:v>0.30459999999999998</c:v>
                </c:pt>
                <c:pt idx="6">
                  <c:v>0.251</c:v>
                </c:pt>
                <c:pt idx="7">
                  <c:v>0.23719999999999999</c:v>
                </c:pt>
                <c:pt idx="8">
                  <c:v>0.108</c:v>
                </c:pt>
                <c:pt idx="9">
                  <c:v>0.14360000000000001</c:v>
                </c:pt>
                <c:pt idx="10">
                  <c:v>3.2399999999999998E-2</c:v>
                </c:pt>
                <c:pt idx="11">
                  <c:v>6.6299999999999998E-2</c:v>
                </c:pt>
                <c:pt idx="12">
                  <c:v>2.3400000000000001E-2</c:v>
                </c:pt>
                <c:pt idx="13">
                  <c:v>1.18E-2</c:v>
                </c:pt>
                <c:pt idx="14">
                  <c:v>1.21E-2</c:v>
                </c:pt>
                <c:pt idx="15">
                  <c:v>4.6800000000000001E-2</c:v>
                </c:pt>
                <c:pt idx="16">
                  <c:v>6.9000000000000006E-2</c:v>
                </c:pt>
                <c:pt idx="17">
                  <c:v>1.61E-2</c:v>
                </c:pt>
                <c:pt idx="18">
                  <c:v>2.9000000000000001E-2</c:v>
                </c:pt>
                <c:pt idx="19">
                  <c:v>1.8700000000000001E-2</c:v>
                </c:pt>
                <c:pt idx="20">
                  <c:v>0.1333</c:v>
                </c:pt>
                <c:pt idx="21">
                  <c:v>0.1391</c:v>
                </c:pt>
                <c:pt idx="22">
                  <c:v>0.13039999999999999</c:v>
                </c:pt>
                <c:pt idx="23">
                  <c:v>0.12709999999999999</c:v>
                </c:pt>
                <c:pt idx="24">
                  <c:v>0.1203</c:v>
                </c:pt>
                <c:pt idx="25">
                  <c:v>8.2600000000000007E-2</c:v>
                </c:pt>
                <c:pt idx="26">
                  <c:v>0.1042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0.107</c:v>
                </c:pt>
                <c:pt idx="1">
                  <c:v>2.6599999999999999E-2</c:v>
                </c:pt>
                <c:pt idx="2">
                  <c:v>7.3700000000000002E-2</c:v>
                </c:pt>
                <c:pt idx="3">
                  <c:v>0.104</c:v>
                </c:pt>
                <c:pt idx="4">
                  <c:v>1.35E-2</c:v>
                </c:pt>
                <c:pt idx="5">
                  <c:v>4.9700000000000001E-2</c:v>
                </c:pt>
                <c:pt idx="6">
                  <c:v>7.17E-2</c:v>
                </c:pt>
                <c:pt idx="7">
                  <c:v>3.2599999999999997E-2</c:v>
                </c:pt>
                <c:pt idx="8">
                  <c:v>0.1268</c:v>
                </c:pt>
                <c:pt idx="9">
                  <c:v>6.4399999999999999E-2</c:v>
                </c:pt>
                <c:pt idx="10">
                  <c:v>0.1676</c:v>
                </c:pt>
                <c:pt idx="11">
                  <c:v>8.2900000000000001E-2</c:v>
                </c:pt>
                <c:pt idx="12">
                  <c:v>1.7500000000000002E-2</c:v>
                </c:pt>
                <c:pt idx="13">
                  <c:v>4.1200000000000001E-2</c:v>
                </c:pt>
                <c:pt idx="14">
                  <c:v>2.4199999999999999E-2</c:v>
                </c:pt>
                <c:pt idx="15">
                  <c:v>4.6800000000000001E-2</c:v>
                </c:pt>
                <c:pt idx="16">
                  <c:v>5.7500000000000002E-2</c:v>
                </c:pt>
                <c:pt idx="17">
                  <c:v>4.8399999999999999E-2</c:v>
                </c:pt>
                <c:pt idx="18">
                  <c:v>3.8600000000000002E-2</c:v>
                </c:pt>
                <c:pt idx="19">
                  <c:v>0.1168</c:v>
                </c:pt>
                <c:pt idx="20">
                  <c:v>0.1111</c:v>
                </c:pt>
                <c:pt idx="21">
                  <c:v>5.2200000000000003E-2</c:v>
                </c:pt>
                <c:pt idx="22">
                  <c:v>3.9100000000000003E-2</c:v>
                </c:pt>
                <c:pt idx="23">
                  <c:v>5.0799999999999998E-2</c:v>
                </c:pt>
                <c:pt idx="24">
                  <c:v>4.5600000000000002E-2</c:v>
                </c:pt>
                <c:pt idx="25">
                  <c:v>7.4399999999999994E-2</c:v>
                </c:pt>
                <c:pt idx="26">
                  <c:v>0.1042</c:v>
                </c:pt>
              </c:numCache>
            </c:numRef>
          </c:val>
          <c:smooth val="0"/>
        </c:ser>
        <c:dLbls>
          <c:showLegendKey val="0"/>
          <c:showVal val="0"/>
          <c:showCatName val="0"/>
          <c:showSerName val="0"/>
          <c:showPercent val="0"/>
          <c:showBubbleSize val="0"/>
        </c:dLbls>
        <c:marker val="1"/>
        <c:smooth val="0"/>
        <c:axId val="243795840"/>
        <c:axId val="243797376"/>
      </c:lineChart>
      <c:catAx>
        <c:axId val="243795840"/>
        <c:scaling>
          <c:orientation val="minMax"/>
        </c:scaling>
        <c:delete val="0"/>
        <c:axPos val="b"/>
        <c:numFmt formatCode="@" sourceLinked="0"/>
        <c:majorTickMark val="out"/>
        <c:minorTickMark val="none"/>
        <c:tickLblPos val="nextTo"/>
        <c:crossAx val="243797376"/>
        <c:crosses val="autoZero"/>
        <c:auto val="1"/>
        <c:lblAlgn val="ctr"/>
        <c:lblOffset val="100"/>
        <c:noMultiLvlLbl val="0"/>
      </c:catAx>
      <c:valAx>
        <c:axId val="243797376"/>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43795840"/>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5699B-F4FD-447A-8BE7-C0A11D3E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7</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2018-04-25T15:17:00Z</dcterms:modified>
</cp:coreProperties>
</file>