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80" w:rsidRDefault="00EC1D80" w:rsidP="00ED3BDC"/>
    <w:p w:rsidR="00EC1D80" w:rsidRDefault="00E95009" w:rsidP="00B67D96">
      <w:pPr>
        <w:jc w:val="center"/>
        <w:rPr>
          <w:rFonts w:cs="Arial"/>
          <w:b/>
          <w:bCs/>
          <w:sz w:val="32"/>
        </w:rPr>
      </w:pPr>
      <w:r>
        <w:rPr>
          <w:b/>
          <w:sz w:val="32"/>
        </w:rPr>
        <w:t xml:space="preserve">BWD Report For the Bathing Season </w:t>
      </w:r>
      <w:r>
        <w:rPr>
          <w:rFonts w:cs="Arial"/>
          <w:b/>
          <w:bCs/>
          <w:sz w:val="32"/>
        </w:rPr>
        <w:t>2017</w:t>
      </w:r>
    </w:p>
    <w:p w:rsidR="00EC1D80" w:rsidRDefault="0079462E" w:rsidP="00B67D96">
      <w:pPr>
        <w:jc w:val="center"/>
        <w:rPr>
          <w:b/>
          <w:sz w:val="40"/>
        </w:rPr>
      </w:pPr>
      <w:r>
        <w:rPr>
          <w:b/>
          <w:sz w:val="40"/>
        </w:rPr>
        <w:t>Estonia</w:t>
      </w:r>
    </w:p>
    <w:p w:rsidR="00EC1D80" w:rsidRDefault="00EC1D80" w:rsidP="00ED3BDC"/>
    <w:p w:rsidR="00EC1D80" w:rsidRDefault="00EC1D80" w:rsidP="00ED3BDC"/>
    <w:p w:rsidR="00EC1D80"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Estonia.</w:t>
      </w:r>
    </w:p>
    <w:p w:rsidR="00EC1D80" w:rsidRDefault="00EC1D80" w:rsidP="00ED3BDC"/>
    <w:p w:rsidR="00EC1D80" w:rsidRDefault="00EC1D80" w:rsidP="00ED3BDC"/>
    <w:p w:rsidR="00EC1D80" w:rsidRDefault="0079462E" w:rsidP="00ED3BDC">
      <w:pPr>
        <w:pStyle w:val="Heading1"/>
      </w:pPr>
      <w:r>
        <w:t xml:space="preserve">BWD reporting in the season </w:t>
      </w:r>
      <w:r>
        <w:rPr>
          <w:szCs w:val="28"/>
        </w:rPr>
        <w:t>2017</w:t>
      </w:r>
    </w:p>
    <w:p w:rsidR="00EC1D80" w:rsidRDefault="00EC1D80" w:rsidP="00ED3BDC"/>
    <w:p w:rsidR="00EC1D80"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EC1D80" w:rsidRDefault="0079462E" w:rsidP="00442644">
                            <w:pPr>
                              <w:jc w:val="center"/>
                              <w:rPr>
                                <w:rFonts w:asciiTheme="minorHAnsi" w:hAnsiTheme="minorHAnsi"/>
                                <w:b/>
                              </w:rPr>
                            </w:pPr>
                            <w:r>
                              <w:rPr>
                                <w:rFonts w:asciiTheme="minorHAnsi" w:hAnsiTheme="minorHAnsi"/>
                                <w:b/>
                              </w:rPr>
                              <w:t>Bathing waters of Estonia in 2017</w:t>
                            </w:r>
                          </w:p>
                          <w:p w:rsidR="00EC1D80" w:rsidRDefault="00EC1D80" w:rsidP="00ED3BDC">
                            <w:pPr>
                              <w:rPr>
                                <w:rFonts w:asciiTheme="minorHAnsi" w:hAnsiTheme="minorHAnsi"/>
                                <w:sz w:val="20"/>
                              </w:rPr>
                            </w:pPr>
                          </w:p>
                          <w:p w:rsidR="00EC1D80"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54</w:t>
                            </w:r>
                          </w:p>
                          <w:p w:rsidR="00EC1D8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27</w:t>
                            </w:r>
                          </w:p>
                          <w:p w:rsidR="00EC1D80"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27</w:t>
                            </w:r>
                          </w:p>
                          <w:p w:rsidR="00EC1D80" w:rsidRDefault="00EC1D80" w:rsidP="00DB3D3B">
                            <w:pPr>
                              <w:tabs>
                                <w:tab w:val="right" w:pos="3544"/>
                              </w:tabs>
                              <w:rPr>
                                <w:rFonts w:asciiTheme="minorHAnsi" w:hAnsiTheme="minorHAnsi"/>
                                <w:sz w:val="20"/>
                              </w:rPr>
                            </w:pPr>
                          </w:p>
                          <w:p w:rsidR="00EC1D80"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92 / 122 days</w:t>
                            </w:r>
                          </w:p>
                          <w:p w:rsidR="00EC1D80"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Jun to 30 Sep</w:t>
                            </w:r>
                          </w:p>
                          <w:p w:rsidR="00EC1D80"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 Jun to 31 Aug</w:t>
                            </w:r>
                          </w:p>
                          <w:p w:rsidR="00EC1D80" w:rsidRDefault="00EC1D80" w:rsidP="00ED3BDC">
                            <w:pPr>
                              <w:rPr>
                                <w:rFonts w:asciiTheme="minorHAnsi" w:hAnsiTheme="minorHAnsi"/>
                                <w:sz w:val="20"/>
                              </w:rPr>
                            </w:pPr>
                          </w:p>
                          <w:p w:rsidR="00EC1D80"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261</w:t>
                            </w:r>
                          </w:p>
                          <w:p w:rsidR="00EC1D80" w:rsidRDefault="00EC1D80" w:rsidP="00ED3BDC">
                            <w:pPr>
                              <w:rPr>
                                <w:rFonts w:asciiTheme="minorHAnsi" w:hAnsiTheme="minorHAnsi"/>
                                <w:sz w:val="20"/>
                              </w:rPr>
                            </w:pPr>
                          </w:p>
                          <w:p w:rsidR="00EC1D80"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80 %</w:t>
                            </w:r>
                          </w:p>
                          <w:p w:rsidR="00EC1D80" w:rsidRDefault="0079462E" w:rsidP="00ED3BDC">
                            <w:pPr>
                              <w:rPr>
                                <w:rFonts w:asciiTheme="minorHAnsi" w:hAnsiTheme="minorHAnsi"/>
                                <w:b/>
                                <w:sz w:val="20"/>
                              </w:rPr>
                            </w:pPr>
                            <w:r>
                              <w:rPr>
                                <w:rFonts w:asciiTheme="minorHAnsi" w:hAnsiTheme="minorHAnsi"/>
                                <w:b/>
                                <w:sz w:val="20"/>
                              </w:rPr>
                              <w:t xml:space="preserve">with good or excellent </w:t>
                            </w:r>
                          </w:p>
                          <w:p w:rsidR="00EC1D80" w:rsidRDefault="0079462E" w:rsidP="00ED3BDC">
                            <w:pPr>
                              <w:rPr>
                                <w:rFonts w:asciiTheme="minorHAnsi" w:hAnsiTheme="minorHAnsi"/>
                                <w:b/>
                                <w:sz w:val="20"/>
                              </w:rPr>
                            </w:pPr>
                            <w:r>
                              <w:rPr>
                                <w:rFonts w:asciiTheme="minorHAnsi" w:hAnsiTheme="minorHAnsi"/>
                                <w:b/>
                                <w:sz w:val="20"/>
                              </w:rPr>
                              <w:t>water quality</w:t>
                            </w:r>
                          </w:p>
                          <w:p w:rsidR="00EC1D80" w:rsidRDefault="00EC1D80" w:rsidP="00ED3BDC">
                            <w:pPr>
                              <w:rPr>
                                <w:rFonts w:asciiTheme="minorHAnsi" w:hAnsiTheme="minorHAnsi"/>
                                <w:sz w:val="20"/>
                              </w:rPr>
                            </w:pPr>
                          </w:p>
                          <w:p w:rsidR="00EC1D80"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2008</w:t>
                            </w:r>
                          </w:p>
                          <w:p w:rsidR="00EC1D80"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Estonia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54</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27</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27</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92 / 122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Jun to 30 Sep</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 Jun to 31 Aug</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261</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80 %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2008</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54 bathing waters have been reported in Estonia. For each bathing water, five groups of parameters have been delivered</w:t>
      </w:r>
      <w:r>
        <w:rPr>
          <w:rStyle w:val="FootnoteReference"/>
        </w:rPr>
        <w:footnoteReference w:id="3"/>
      </w:r>
      <w:r>
        <w:t>:</w:t>
      </w:r>
    </w:p>
    <w:p w:rsidR="00EC1D8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EC1D8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EC1D8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EC1D80"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EC1D80"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EC1D80" w:rsidRDefault="00EC1D80" w:rsidP="00ED3BDC"/>
    <w:p w:rsidR="00EC1D80" w:rsidRDefault="0079462E" w:rsidP="00ED3BDC">
      <w:r>
        <w:t xml:space="preserve">The authorities of </w:t>
      </w:r>
      <w:r>
        <w:rPr>
          <w:rFonts w:ascii="Cambria" w:hAnsi="Cambria"/>
        </w:rPr>
        <w:t>Estonia</w:t>
      </w:r>
      <w:r>
        <w:t xml:space="preserve"> report data according to the new BWD (2006/7/EC) since the season </w:t>
      </w:r>
      <w:r>
        <w:rPr>
          <w:rFonts w:ascii="Cambria" w:hAnsi="Cambria"/>
        </w:rPr>
        <w:t>2008</w:t>
      </w:r>
      <w:r>
        <w:t>.</w:t>
      </w:r>
    </w:p>
    <w:p w:rsidR="00EC1D80" w:rsidRDefault="00EC1D80" w:rsidP="00ED3BDC"/>
    <w:p w:rsidR="00EC1D80" w:rsidRDefault="0079462E" w:rsidP="00ED3BDC">
      <w:r>
        <w:t xml:space="preserve">Altogether, </w:t>
      </w:r>
      <w:r>
        <w:rPr>
          <w:rFonts w:ascii="Cambria" w:hAnsi="Cambria"/>
          <w:b/>
        </w:rPr>
        <w:t>54</w:t>
      </w:r>
      <w:r>
        <w:rPr>
          <w:rFonts w:ascii="Cambria" w:hAnsi="Cambria"/>
        </w:rPr>
        <w:t xml:space="preserve"> </w:t>
      </w:r>
      <w:r>
        <w:rPr>
          <w:b/>
        </w:rPr>
        <w:t xml:space="preserve">bathing waters </w:t>
      </w:r>
      <w:r>
        <w:t xml:space="preserve">have been reported – 0.2% of all bathing waters in Europe. </w:t>
      </w:r>
      <w:r w:rsidR="00425FA1">
        <w:t>No</w:t>
      </w:r>
      <w:r>
        <w:t xml:space="preserve"> bathing waters have been newly reported in the recent season. 50% of bathing waters in Estonia are of coastal type; the other 50% are inland. </w:t>
      </w:r>
      <w:r>
        <w:rPr>
          <w:b/>
        </w:rPr>
        <w:t>261 samples</w:t>
      </w:r>
      <w:r>
        <w:t xml:space="preserve"> were taken at bathing waters throughout the season – 5 per bathing water on average.</w:t>
      </w:r>
    </w:p>
    <w:p w:rsidR="00EC1D80" w:rsidRDefault="00EC1D80" w:rsidP="00ED3BDC"/>
    <w:p w:rsidR="00EC1D80" w:rsidRDefault="002B438D" w:rsidP="00ED3BDC">
      <w:r>
        <w:lastRenderedPageBreak/>
        <w:t xml:space="preserve">The maximum bathing season period was from 1 June to 30 September for coastal bathing waters, i.e. 122 days altogether.Season duration varies for coastal bathing waters. </w:t>
      </w:r>
      <w:r w:rsidR="00E61218">
        <w:t>Maximum inland bathing season period was from 1 June</w:t>
      </w:r>
      <w:r w:rsidR="00425FA1">
        <w:t xml:space="preserve"> to 31 August, i.e. 92 days.</w:t>
      </w:r>
    </w:p>
    <w:p w:rsidR="00EC1D80" w:rsidRDefault="00EC1D80" w:rsidP="00ED3BDC"/>
    <w:p w:rsidR="00EC1D80" w:rsidRDefault="002B438D" w:rsidP="00ED3BDC">
      <w:r>
        <w:t xml:space="preserve">Detailed information on bathing waters is available from national portal at </w:t>
      </w:r>
      <w:hyperlink r:id="rId9" w:history="1">
        <w:r w:rsidR="00425FA1" w:rsidRPr="003F4ABB">
          <w:rPr>
            <w:rStyle w:val="Hyperlink"/>
          </w:rPr>
          <w:t>http://vtiav.sm.ee/index.php/?active_tab_id=SV</w:t>
        </w:r>
      </w:hyperlink>
      <w:r>
        <w:t>.</w:t>
      </w:r>
    </w:p>
    <w:p w:rsidR="00EC1D80" w:rsidRDefault="00EC1D80" w:rsidP="00ED3BDC"/>
    <w:p w:rsidR="00EC1D80" w:rsidRDefault="00EC1D80" w:rsidP="00ED3BDC"/>
    <w:p w:rsidR="00EC1D80" w:rsidRDefault="002B438D" w:rsidP="00ED3BDC">
      <w:pPr>
        <w:pStyle w:val="Heading1"/>
      </w:pPr>
      <w:r>
        <w:t>Assessment methodology</w:t>
      </w:r>
      <w:r>
        <w:rPr>
          <w:rStyle w:val="FootnoteReference"/>
        </w:rPr>
        <w:footnoteReference w:id="4"/>
      </w:r>
    </w:p>
    <w:p w:rsidR="00EC1D80" w:rsidRDefault="00EC1D80" w:rsidP="00ED3BDC"/>
    <w:p w:rsidR="00EC1D80"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EC1D80" w:rsidRDefault="00EC1D80" w:rsidP="00ED3BDC"/>
    <w:p w:rsidR="00EC1D80" w:rsidRDefault="003F038E" w:rsidP="00ED3BDC">
      <w:r>
        <w:t>The monitoring requirements under the Directive are:</w:t>
      </w:r>
    </w:p>
    <w:p w:rsidR="00EC1D8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EC1D80"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EC1D80"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EC1D80" w:rsidRDefault="00EC1D80" w:rsidP="00ED3BDC"/>
    <w:p w:rsidR="00EC1D80" w:rsidRDefault="003F038E" w:rsidP="003F038E">
      <w:r>
        <w:t xml:space="preserve">If these rules are satisfied, the bathing water is categorised as 'sampling frequency satisfied'. If not all monitoring requirements are fulfilled the bathing water is categorised as 'not enough samples'. 92.6%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EC1D80" w:rsidRDefault="00EC1D80" w:rsidP="00ED3BDC"/>
    <w:p w:rsidR="00EC1D80"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EC1D80" w:rsidTr="00484359">
        <w:trPr>
          <w:trHeight w:val="343"/>
        </w:trPr>
        <w:tc>
          <w:tcPr>
            <w:tcW w:w="6379" w:type="dxa"/>
            <w:shd w:val="clear" w:color="auto" w:fill="F2F2F2" w:themeFill="background1" w:themeFillShade="F2"/>
            <w:vAlign w:val="center"/>
          </w:tcPr>
          <w:p w:rsidR="00EC1D80" w:rsidRDefault="00EC1D80" w:rsidP="00484359">
            <w:pPr>
              <w:jc w:val="left"/>
              <w:rPr>
                <w:rFonts w:asciiTheme="minorHAnsi" w:hAnsiTheme="minorHAnsi"/>
                <w:b/>
                <w:sz w:val="20"/>
              </w:rPr>
            </w:pPr>
          </w:p>
        </w:tc>
        <w:tc>
          <w:tcPr>
            <w:tcW w:w="1701" w:type="dxa"/>
            <w:shd w:val="clear" w:color="auto" w:fill="F2F2F2" w:themeFill="background1" w:themeFillShade="F2"/>
            <w:vAlign w:val="center"/>
          </w:tcPr>
          <w:p w:rsidR="00EC1D80"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EC1D80" w:rsidRDefault="00484359" w:rsidP="00484359">
            <w:pPr>
              <w:jc w:val="left"/>
              <w:rPr>
                <w:rFonts w:asciiTheme="minorHAnsi" w:hAnsiTheme="minorHAnsi"/>
                <w:b/>
                <w:sz w:val="20"/>
              </w:rPr>
            </w:pPr>
            <w:r>
              <w:rPr>
                <w:rFonts w:asciiTheme="minorHAnsi" w:hAnsiTheme="minorHAnsi"/>
                <w:b/>
                <w:sz w:val="20"/>
              </w:rPr>
              <w:t>Share of total [%]</w:t>
            </w:r>
          </w:p>
        </w:tc>
      </w:tr>
      <w:tr w:rsidR="00EC1D80" w:rsidTr="00484359">
        <w:tc>
          <w:tcPr>
            <w:tcW w:w="6379" w:type="dxa"/>
          </w:tcPr>
          <w:p w:rsidR="00EC1D8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EC1D80"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EC1D80" w:rsidRDefault="006D2330" w:rsidP="00B14C10">
            <w:pPr>
              <w:jc w:val="right"/>
              <w:rPr>
                <w:rFonts w:asciiTheme="minorHAnsi" w:hAnsiTheme="minorHAnsi"/>
                <w:sz w:val="20"/>
              </w:rPr>
            </w:pPr>
            <w:r>
              <w:rPr>
                <w:rFonts w:asciiTheme="minorHAnsi" w:hAnsiTheme="minorHAnsi"/>
                <w:sz w:val="20"/>
              </w:rPr>
              <w:t>50</w:t>
            </w:r>
          </w:p>
        </w:tc>
        <w:tc>
          <w:tcPr>
            <w:tcW w:w="1701" w:type="dxa"/>
            <w:vAlign w:val="center"/>
          </w:tcPr>
          <w:p w:rsidR="00EC1D80" w:rsidRDefault="004D61EC" w:rsidP="00B14C10">
            <w:pPr>
              <w:jc w:val="right"/>
              <w:rPr>
                <w:rFonts w:asciiTheme="minorHAnsi" w:hAnsiTheme="minorHAnsi"/>
                <w:b/>
                <w:sz w:val="20"/>
              </w:rPr>
            </w:pPr>
            <w:r>
              <w:rPr>
                <w:rFonts w:asciiTheme="minorHAnsi" w:hAnsiTheme="minorHAnsi"/>
                <w:sz w:val="20"/>
              </w:rPr>
              <w:t>92.6%</w:t>
            </w:r>
          </w:p>
        </w:tc>
      </w:tr>
      <w:tr w:rsidR="00EC1D80" w:rsidTr="00484359">
        <w:tc>
          <w:tcPr>
            <w:tcW w:w="6379" w:type="dxa"/>
          </w:tcPr>
          <w:p w:rsidR="00EC1D80"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EC1D80"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EC1D80" w:rsidRDefault="006710BD" w:rsidP="00B14C10">
            <w:pPr>
              <w:jc w:val="right"/>
              <w:rPr>
                <w:rFonts w:asciiTheme="minorHAnsi" w:hAnsiTheme="minorHAnsi"/>
                <w:b/>
                <w:sz w:val="20"/>
              </w:rPr>
            </w:pPr>
            <w:r>
              <w:rPr>
                <w:rFonts w:asciiTheme="minorHAnsi" w:hAnsiTheme="minorHAnsi"/>
                <w:sz w:val="20"/>
              </w:rPr>
              <w:lastRenderedPageBreak/>
              <w:t>4</w:t>
            </w:r>
          </w:p>
        </w:tc>
        <w:tc>
          <w:tcPr>
            <w:tcW w:w="1701" w:type="dxa"/>
            <w:vAlign w:val="center"/>
          </w:tcPr>
          <w:p w:rsidR="00EC1D80" w:rsidRDefault="004D61EC" w:rsidP="00484359">
            <w:pPr>
              <w:jc w:val="right"/>
              <w:rPr>
                <w:rFonts w:asciiTheme="minorHAnsi" w:hAnsiTheme="minorHAnsi"/>
                <w:b/>
                <w:sz w:val="20"/>
              </w:rPr>
            </w:pPr>
            <w:r>
              <w:rPr>
                <w:rFonts w:asciiTheme="minorHAnsi" w:hAnsiTheme="minorHAnsi"/>
                <w:sz w:val="20"/>
              </w:rPr>
              <w:t>7.4%</w:t>
            </w:r>
          </w:p>
        </w:tc>
      </w:tr>
      <w:tr w:rsidR="00EC1D80" w:rsidTr="00484359">
        <w:tc>
          <w:tcPr>
            <w:tcW w:w="6379" w:type="dxa"/>
          </w:tcPr>
          <w:p w:rsidR="00EC1D80"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EC1D80"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EC1D80" w:rsidRDefault="006710BD" w:rsidP="00B14C10">
            <w:pPr>
              <w:jc w:val="right"/>
              <w:rPr>
                <w:rFonts w:asciiTheme="minorHAnsi" w:hAnsiTheme="minorHAnsi"/>
                <w:b/>
                <w:sz w:val="20"/>
              </w:rPr>
            </w:pPr>
            <w:r>
              <w:rPr>
                <w:rFonts w:asciiTheme="minorHAnsi" w:hAnsiTheme="minorHAnsi"/>
                <w:sz w:val="20"/>
              </w:rPr>
              <w:t>0</w:t>
            </w:r>
          </w:p>
        </w:tc>
        <w:tc>
          <w:tcPr>
            <w:tcW w:w="1701" w:type="dxa"/>
            <w:vAlign w:val="center"/>
          </w:tcPr>
          <w:p w:rsidR="00EC1D80" w:rsidRDefault="004D61EC" w:rsidP="00B14C10">
            <w:pPr>
              <w:jc w:val="right"/>
              <w:rPr>
                <w:rFonts w:asciiTheme="minorHAnsi" w:hAnsiTheme="minorHAnsi"/>
                <w:b/>
                <w:sz w:val="20"/>
              </w:rPr>
            </w:pPr>
            <w:r>
              <w:rPr>
                <w:rFonts w:asciiTheme="minorHAnsi" w:hAnsiTheme="minorHAnsi"/>
                <w:sz w:val="20"/>
              </w:rPr>
              <w:t>0.0%</w:t>
            </w:r>
          </w:p>
        </w:tc>
      </w:tr>
      <w:tr w:rsidR="00EC1D80" w:rsidTr="00484359">
        <w:trPr>
          <w:trHeight w:val="323"/>
        </w:trPr>
        <w:tc>
          <w:tcPr>
            <w:tcW w:w="6379" w:type="dxa"/>
            <w:shd w:val="clear" w:color="auto" w:fill="F2F2F2" w:themeFill="background1" w:themeFillShade="F2"/>
            <w:vAlign w:val="center"/>
          </w:tcPr>
          <w:p w:rsidR="00EC1D80"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EC1D80" w:rsidRDefault="00993FEC" w:rsidP="00484359">
            <w:pPr>
              <w:jc w:val="right"/>
              <w:rPr>
                <w:rFonts w:asciiTheme="minorHAnsi" w:hAnsiTheme="minorHAnsi"/>
                <w:b/>
                <w:sz w:val="20"/>
              </w:rPr>
            </w:pPr>
            <w:r>
              <w:rPr>
                <w:rFonts w:asciiTheme="minorHAnsi" w:hAnsiTheme="minorHAnsi"/>
                <w:b/>
                <w:sz w:val="20"/>
              </w:rPr>
              <w:t>54</w:t>
            </w:r>
          </w:p>
        </w:tc>
        <w:tc>
          <w:tcPr>
            <w:tcW w:w="1701" w:type="dxa"/>
            <w:shd w:val="clear" w:color="auto" w:fill="F2F2F2" w:themeFill="background1" w:themeFillShade="F2"/>
            <w:vAlign w:val="center"/>
          </w:tcPr>
          <w:p w:rsidR="00EC1D80" w:rsidRDefault="004943BD" w:rsidP="004943BD">
            <w:pPr>
              <w:jc w:val="right"/>
              <w:rPr>
                <w:rFonts w:asciiTheme="minorHAnsi" w:hAnsiTheme="minorHAnsi"/>
                <w:b/>
                <w:sz w:val="20"/>
              </w:rPr>
            </w:pPr>
            <w:r>
              <w:rPr>
                <w:rFonts w:asciiTheme="minorHAnsi" w:hAnsiTheme="minorHAnsi"/>
                <w:b/>
                <w:sz w:val="20"/>
              </w:rPr>
              <w:t>100%</w:t>
            </w:r>
          </w:p>
        </w:tc>
      </w:tr>
    </w:tbl>
    <w:p w:rsidR="00EC1D80" w:rsidRDefault="00EC1D80" w:rsidP="00ED3BDC"/>
    <w:p w:rsidR="00EC1D80"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EC1D80" w:rsidRDefault="00EC1D80" w:rsidP="00ED3BDC"/>
    <w:p w:rsidR="00EC1D80"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EC1D80" w:rsidRDefault="00EC1D80" w:rsidP="00ED3BDC"/>
    <w:p w:rsidR="00EC1D80" w:rsidRDefault="002F24A6" w:rsidP="002F24A6">
      <w:r>
        <w:t>Quality assessment is not possible for all bathing waters. In these cases, they are instead classified as either:</w:t>
      </w:r>
    </w:p>
    <w:p w:rsidR="00EC1D80" w:rsidRDefault="002F24A6" w:rsidP="002F24A6">
      <w:pPr>
        <w:ind w:firstLine="284"/>
      </w:pPr>
      <w:r>
        <w:t>• not enough samples</w:t>
      </w:r>
      <w:r>
        <w:rPr>
          <w:rStyle w:val="FootnoteReference"/>
        </w:rPr>
        <w:footnoteReference w:id="8"/>
      </w:r>
      <w:r>
        <w:t>;</w:t>
      </w:r>
    </w:p>
    <w:p w:rsidR="00EC1D80" w:rsidRDefault="002F24A6" w:rsidP="002F24A6">
      <w:pPr>
        <w:ind w:firstLine="284"/>
      </w:pPr>
      <w:r>
        <w:t>• new</w:t>
      </w:r>
      <w:r>
        <w:rPr>
          <w:rStyle w:val="FootnoteReference"/>
        </w:rPr>
        <w:footnoteReference w:id="9"/>
      </w:r>
      <w:r>
        <w:t>;</w:t>
      </w:r>
    </w:p>
    <w:p w:rsidR="00EC1D80" w:rsidRDefault="00783E42" w:rsidP="00783E42">
      <w:pPr>
        <w:ind w:firstLine="284"/>
      </w:pPr>
      <w:r>
        <w:t>• changes</w:t>
      </w:r>
      <w:r>
        <w:rPr>
          <w:rStyle w:val="FootnoteReference"/>
        </w:rPr>
        <w:footnoteReference w:id="10"/>
      </w:r>
      <w:r>
        <w:t>;</w:t>
      </w:r>
    </w:p>
    <w:p w:rsidR="00EC1D80" w:rsidRDefault="00783E42" w:rsidP="00783E42">
      <w:pPr>
        <w:ind w:firstLine="284"/>
      </w:pPr>
      <w:r>
        <w:t>• closed</w:t>
      </w:r>
      <w:r>
        <w:rPr>
          <w:rStyle w:val="FootnoteReference"/>
        </w:rPr>
        <w:footnoteReference w:id="11"/>
      </w:r>
      <w:r>
        <w:t>.</w:t>
      </w:r>
    </w:p>
    <w:p w:rsidR="00EC1D80" w:rsidRDefault="00EC1D80" w:rsidP="00AF3F74"/>
    <w:p w:rsidR="00EC1D80" w:rsidRDefault="00EC1D80" w:rsidP="00ED3BDC"/>
    <w:p w:rsidR="00EC1D80" w:rsidRDefault="002B438D" w:rsidP="00ED3BDC">
      <w:pPr>
        <w:pStyle w:val="Heading1"/>
      </w:pPr>
      <w:r>
        <w:t>Bathing water quality</w:t>
      </w:r>
    </w:p>
    <w:p w:rsidR="00EC1D80" w:rsidRDefault="00EC1D80" w:rsidP="00ED3BDC"/>
    <w:p w:rsidR="00EC1D80" w:rsidRDefault="002B438D" w:rsidP="00ED3BDC">
      <w:r>
        <w:t>The results of the bathing water quality in Estonia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EC1D80" w:rsidRDefault="00EC1D80" w:rsidP="00ED3BDC"/>
    <w:p w:rsidR="00425FA1" w:rsidRDefault="00425FA1" w:rsidP="00ED3BDC"/>
    <w:p w:rsidR="00425FA1" w:rsidRDefault="00425FA1" w:rsidP="00ED3BDC"/>
    <w:p w:rsidR="00425FA1" w:rsidRDefault="00425FA1" w:rsidP="00ED3BDC"/>
    <w:p w:rsidR="00425FA1" w:rsidRDefault="00425FA1" w:rsidP="00ED3BDC"/>
    <w:p w:rsidR="00EC1D80" w:rsidRDefault="002B438D" w:rsidP="00ED3BDC">
      <w:pPr>
        <w:pStyle w:val="Heading2"/>
      </w:pPr>
      <w:r>
        <w:lastRenderedPageBreak/>
        <w:t>Coastal bathing waters</w:t>
      </w:r>
    </w:p>
    <w:p w:rsidR="00EC1D80" w:rsidRDefault="00EC1D80" w:rsidP="00ED3BDC"/>
    <w:p w:rsidR="00EC1D80" w:rsidRDefault="002B438D" w:rsidP="00ED3BDC">
      <w:r>
        <w:t xml:space="preserve">In Estonia, 85.2% of all existing coastal bathing waters met at least sufficient water quality standards in 2017. See Appendix 1 for numeric data. </w:t>
      </w:r>
    </w:p>
    <w:p w:rsidR="00EC1D80" w:rsidRDefault="00EC1D80" w:rsidP="00ED3BDC"/>
    <w:p w:rsidR="00EC1D80"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1D80"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Estonia. </w:t>
      </w:r>
      <w:r>
        <w:rPr>
          <w:b w:val="0"/>
        </w:rPr>
        <w:t>Note: the “At least sufficient” class also includes bathing waters of “Excellent” quality class, the sum of shares is therefore not 100%.</w:t>
      </w:r>
      <w:r>
        <w:t xml:space="preserve"> </w:t>
      </w:r>
    </w:p>
    <w:p w:rsidR="00EC1D80" w:rsidRDefault="00EC1D80" w:rsidP="00ED3BDC"/>
    <w:p w:rsidR="00EC1D80" w:rsidRDefault="00EC1D80" w:rsidP="00ED3BDC"/>
    <w:p w:rsidR="00EC1D80" w:rsidRDefault="002B438D" w:rsidP="00ED3BDC">
      <w:pPr>
        <w:pStyle w:val="Heading2"/>
      </w:pPr>
      <w:r>
        <w:t>Inland bathing waters</w:t>
      </w:r>
    </w:p>
    <w:p w:rsidR="00EC1D80" w:rsidRDefault="00EC1D80" w:rsidP="00ED3BDC"/>
    <w:p w:rsidR="00EC1D80" w:rsidRDefault="007C239B" w:rsidP="002318DD">
      <w:r>
        <w:t>85.2% of all existing inland bathing waters were of at least sufficient water quality in 2017. See Appendix 1 for numeric data.</w:t>
      </w:r>
      <w:bookmarkStart w:id="1" w:name="OLE_LINK19"/>
      <w:bookmarkStart w:id="2" w:name="OLE_LINK20"/>
      <w:r>
        <w:t xml:space="preserve"> </w:t>
      </w:r>
    </w:p>
    <w:p w:rsidR="00EC1D80" w:rsidRDefault="00EC1D80" w:rsidP="002318DD"/>
    <w:p w:rsidR="00EC1D80"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EC1D80"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Estonia. </w:t>
      </w:r>
      <w:r>
        <w:rPr>
          <w:b w:val="0"/>
        </w:rPr>
        <w:t>Note: the “At least sufficient” class also includes bathing waters of “Excellent” quality class, the sum of shares is therefore not 100%.</w:t>
      </w:r>
      <w:r>
        <w:t xml:space="preserve"> </w:t>
      </w:r>
    </w:p>
    <w:p w:rsidR="00EC1D80" w:rsidRDefault="00EC1D80" w:rsidP="00ED3BDC">
      <w:pPr>
        <w:pStyle w:val="Caption"/>
      </w:pPr>
    </w:p>
    <w:p w:rsidR="00EC1D80" w:rsidRDefault="00EC1D80" w:rsidP="00ED3BDC"/>
    <w:p w:rsidR="00EC1D80" w:rsidRDefault="00EC1D80" w:rsidP="00ED3BDC"/>
    <w:p w:rsidR="00EC1D80"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EC1D80" w:rsidRDefault="00EC1D80" w:rsidP="00ED3BDC"/>
    <w:p w:rsidR="00425FA1" w:rsidRDefault="00425FA1" w:rsidP="00425FA1">
      <w:r>
        <w:t>The requirements of Directive 2006/7/EC are promulgated in Estonian law in the Public Health Act, the Water Act, and regulation implementing them. Bathing waters have been under surveillance of the Health Board of Estonia.</w:t>
      </w:r>
    </w:p>
    <w:p w:rsidR="00425FA1" w:rsidRDefault="00425FA1" w:rsidP="00425FA1"/>
    <w:p w:rsidR="00425FA1" w:rsidRDefault="00425FA1" w:rsidP="00425FA1">
      <w:r>
        <w:t>Quality and control requirements for bathing water are laid down in the Decree of the Government No. 74 from 3rd April 2008 “Requirements to bathing waters and bathing sites”. The regulation establishes requirements for bathing places, bathing water quality, monitoring, classification, quality management and reference methods, also establishes the provision of information to the public. Private or public bodies owning the bathing place are the subject of the regulation. In accordance to legislation, the Health Board is responsible for arranging bathing water monitoring and doing state supervision, collecting and processing the data on the bathing water quality, advising bathing place owners, informing public and establishing bathing water profiles.</w:t>
      </w:r>
    </w:p>
    <w:p w:rsidR="00425FA1" w:rsidRDefault="00425FA1" w:rsidP="00425FA1"/>
    <w:p w:rsidR="00425FA1" w:rsidRDefault="00425FA1" w:rsidP="00425FA1">
      <w:r>
        <w:t>Typical management measures implemented on bathing waters include: a monitoring calendar; bathing water quality monitoring; information about quality of bathing water made available on the website of Health Board (</w:t>
      </w:r>
      <w:hyperlink r:id="rId12" w:history="1">
        <w:r w:rsidRPr="003F4ABB">
          <w:rPr>
            <w:rStyle w:val="Hyperlink"/>
          </w:rPr>
          <w:t>http://vtiav.sm.ee/index.php/?active_tab_id=SV</w:t>
        </w:r>
      </w:hyperlink>
      <w:r>
        <w:t>), at the bathing place, central newspapers and occasionally on TV or radio; bathing water quality assessment during the season and after the season; bathing water profile made available online.</w:t>
      </w:r>
    </w:p>
    <w:p w:rsidR="00425FA1" w:rsidRDefault="00425FA1" w:rsidP="00425FA1"/>
    <w:p w:rsidR="00425FA1" w:rsidRDefault="00425FA1" w:rsidP="00425FA1">
      <w:r>
        <w:t xml:space="preserve">In the season 2017, two coastal bathing sites and two inland bathing sites, previously classified as “sufficient” of better, were classified as “poor” – </w:t>
      </w:r>
      <w:proofErr w:type="spellStart"/>
      <w:r>
        <w:t>Stroomi</w:t>
      </w:r>
      <w:proofErr w:type="spellEnd"/>
      <w:r>
        <w:t xml:space="preserve">, </w:t>
      </w:r>
      <w:proofErr w:type="spellStart"/>
      <w:r>
        <w:t>Raeküla</w:t>
      </w:r>
      <w:proofErr w:type="spellEnd"/>
      <w:r>
        <w:t xml:space="preserve">, Anne </w:t>
      </w:r>
      <w:proofErr w:type="spellStart"/>
      <w:r>
        <w:t>kanal</w:t>
      </w:r>
      <w:proofErr w:type="spellEnd"/>
      <w:r>
        <w:t xml:space="preserve"> and </w:t>
      </w:r>
      <w:proofErr w:type="spellStart"/>
      <w:r>
        <w:t>Põlva</w:t>
      </w:r>
      <w:proofErr w:type="spellEnd"/>
      <w:r>
        <w:t xml:space="preserve">. There are several potential reasons of pollution, among others cloudy and rainy summer. In </w:t>
      </w:r>
      <w:proofErr w:type="spellStart"/>
      <w:r>
        <w:t>Põlva</w:t>
      </w:r>
      <w:proofErr w:type="spellEnd"/>
      <w:r>
        <w:t>, heavy rainfall rainwater caused the waste water overflow that reached the lake, and also diffuse pollution from town streets and areas around the lake might influence the water quality. In all of the mentioned bathing sites, the owners are trying to identify the causes of pollutions and reasons of poor water quality.</w:t>
      </w:r>
    </w:p>
    <w:p w:rsidR="00425FA1" w:rsidRDefault="00425FA1" w:rsidP="00425FA1"/>
    <w:p w:rsidR="00EC1D80" w:rsidRDefault="00425FA1" w:rsidP="00425FA1">
      <w:r>
        <w:t>In two other bathing waters (</w:t>
      </w:r>
      <w:proofErr w:type="spellStart"/>
      <w:r>
        <w:t>Türi</w:t>
      </w:r>
      <w:proofErr w:type="spellEnd"/>
      <w:r>
        <w:t xml:space="preserve"> </w:t>
      </w:r>
      <w:proofErr w:type="spellStart"/>
      <w:r>
        <w:t>Tehisjärv</w:t>
      </w:r>
      <w:proofErr w:type="spellEnd"/>
      <w:r>
        <w:t xml:space="preserve"> and </w:t>
      </w:r>
      <w:proofErr w:type="spellStart"/>
      <w:r>
        <w:t>Harku</w:t>
      </w:r>
      <w:proofErr w:type="spellEnd"/>
      <w:r>
        <w:t xml:space="preserve"> rand) there was a </w:t>
      </w:r>
      <w:proofErr w:type="spellStart"/>
      <w:r>
        <w:t>cyanobacterial</w:t>
      </w:r>
      <w:proofErr w:type="spellEnd"/>
      <w:r>
        <w:t xml:space="preserve"> bloom in July (</w:t>
      </w:r>
      <w:proofErr w:type="spellStart"/>
      <w:r>
        <w:t>Türi</w:t>
      </w:r>
      <w:proofErr w:type="spellEnd"/>
      <w:r>
        <w:t xml:space="preserve"> </w:t>
      </w:r>
      <w:proofErr w:type="spellStart"/>
      <w:r>
        <w:t>Tehisjärv</w:t>
      </w:r>
      <w:proofErr w:type="spellEnd"/>
      <w:r>
        <w:t>)/August (</w:t>
      </w:r>
      <w:proofErr w:type="spellStart"/>
      <w:r>
        <w:t>Harku</w:t>
      </w:r>
      <w:proofErr w:type="spellEnd"/>
      <w:r>
        <w:t xml:space="preserve"> rand). Public was informed and bathing was not recommended, especially for children, allergic, elderly people and people with weak health.</w:t>
      </w:r>
    </w:p>
    <w:p w:rsidR="00EC1D80" w:rsidRDefault="00EC1D80" w:rsidP="00ED3BDC"/>
    <w:p w:rsidR="00425FA1" w:rsidRDefault="00425FA1" w:rsidP="00ED3BDC"/>
    <w:p w:rsidR="00EC1D80" w:rsidRDefault="0024729D" w:rsidP="00ED3BDC">
      <w:pPr>
        <w:pStyle w:val="Heading1"/>
      </w:pPr>
      <w:r>
        <w:t>Bathing water quality assessment presentation in online viewers</w:t>
      </w:r>
    </w:p>
    <w:p w:rsidR="00EC1D80" w:rsidRDefault="00EC1D80" w:rsidP="00ED3BDC"/>
    <w:p w:rsidR="00EC1D80"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3" w:history="1">
        <w:r>
          <w:rPr>
            <w:rStyle w:val="Hyperlink"/>
          </w:rPr>
          <w:t>http://ec.europa.eu/environment/water/index_en.htm</w:t>
        </w:r>
      </w:hyperlink>
      <w:r>
        <w:t>.</w:t>
      </w:r>
    </w:p>
    <w:p w:rsidR="00EC1D80" w:rsidRDefault="00EC1D80" w:rsidP="00EC573D"/>
    <w:p w:rsidR="00EC1D80" w:rsidRDefault="003E2BA0" w:rsidP="003E2BA0">
      <w:r>
        <w:t>The bathing water section of the Water Information System for Europe (WISE) which is accessible at the EEA bathing water website (</w:t>
      </w:r>
      <w:hyperlink r:id="rId14" w:history="1">
        <w:r>
          <w:rPr>
            <w:rStyle w:val="Hyperlink"/>
          </w:rPr>
          <w:t>http://www.eea.europa.eu/themes/water/interactive/bathing/state-of-bathing-waters</w:t>
        </w:r>
      </w:hyperlink>
      <w:r>
        <w:t xml:space="preserve">) allows users to view the bathing water quality at more than 21 000 coastal and inland sites across Europe. The WISE bathing water quality data viewer combines text and graphical visualisation, providing a quick overview of the bathing water's locations and achieved quality. Having </w:t>
      </w:r>
      <w:r>
        <w:lastRenderedPageBreak/>
        <w:t>access to bathing water information, citizens are encouraged to make full use of it and participate with their comments.</w:t>
      </w:r>
    </w:p>
    <w:p w:rsidR="00EC1D80" w:rsidRDefault="002B438D" w:rsidP="003E2BA0">
      <w:r>
        <w:br w:type="page"/>
      </w:r>
    </w:p>
    <w:p w:rsidR="00EC1D80" w:rsidRDefault="002B438D" w:rsidP="00ED3BDC">
      <w:pPr>
        <w:rPr>
          <w:b/>
          <w:sz w:val="28"/>
        </w:rPr>
      </w:pPr>
      <w:r>
        <w:rPr>
          <w:b/>
          <w:sz w:val="28"/>
        </w:rPr>
        <w:lastRenderedPageBreak/>
        <w:t>Appendix 1: Results of bathing water quality in Estonia from 2014 to 2017</w:t>
      </w:r>
    </w:p>
    <w:p w:rsidR="00EC1D80" w:rsidRDefault="00EC1D80" w:rsidP="00ED3BDC"/>
    <w:p w:rsidR="00EC1D80"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EC1D80" w:rsidTr="005F5E3F">
        <w:tc>
          <w:tcPr>
            <w:tcW w:w="1276" w:type="dxa"/>
            <w:gridSpan w:val="2"/>
            <w:vMerge w:val="restart"/>
            <w:shd w:val="clear" w:color="auto" w:fill="F2F2F2" w:themeFill="background1" w:themeFillShade="F2"/>
          </w:tcPr>
          <w:p w:rsidR="00EC1D80" w:rsidRDefault="00EC1D80"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EC1D80" w:rsidRDefault="005F5E3F" w:rsidP="00B853E1">
            <w:pPr>
              <w:jc w:val="center"/>
              <w:rPr>
                <w:rFonts w:asciiTheme="minorHAnsi" w:hAnsiTheme="minorHAnsi"/>
                <w:b/>
                <w:sz w:val="20"/>
                <w:szCs w:val="20"/>
              </w:rPr>
            </w:pPr>
            <w:r>
              <w:rPr>
                <w:rFonts w:asciiTheme="minorHAnsi" w:hAnsiTheme="minorHAnsi"/>
                <w:b/>
                <w:sz w:val="20"/>
                <w:szCs w:val="20"/>
              </w:rPr>
              <w:t>Total</w:t>
            </w:r>
          </w:p>
          <w:p w:rsidR="00EC1D80" w:rsidRDefault="005F5E3F" w:rsidP="00B853E1">
            <w:pPr>
              <w:jc w:val="center"/>
              <w:rPr>
                <w:rFonts w:asciiTheme="minorHAnsi" w:hAnsiTheme="minorHAnsi"/>
                <w:b/>
                <w:sz w:val="20"/>
                <w:szCs w:val="20"/>
              </w:rPr>
            </w:pPr>
            <w:r>
              <w:rPr>
                <w:rFonts w:asciiTheme="minorHAnsi" w:hAnsiTheme="minorHAnsi"/>
                <w:b/>
                <w:sz w:val="20"/>
                <w:szCs w:val="20"/>
              </w:rPr>
              <w:t>number</w:t>
            </w:r>
          </w:p>
          <w:p w:rsidR="00EC1D80" w:rsidRDefault="005F5E3F" w:rsidP="00B853E1">
            <w:pPr>
              <w:jc w:val="center"/>
              <w:rPr>
                <w:rFonts w:asciiTheme="minorHAnsi" w:hAnsiTheme="minorHAnsi"/>
                <w:b/>
                <w:sz w:val="20"/>
                <w:szCs w:val="20"/>
              </w:rPr>
            </w:pPr>
            <w:r>
              <w:rPr>
                <w:rFonts w:asciiTheme="minorHAnsi" w:hAnsiTheme="minorHAnsi"/>
                <w:b/>
                <w:sz w:val="20"/>
                <w:szCs w:val="20"/>
              </w:rPr>
              <w:t>of</w:t>
            </w:r>
          </w:p>
          <w:p w:rsidR="00EC1D80" w:rsidRDefault="005F5E3F" w:rsidP="00B853E1">
            <w:pPr>
              <w:jc w:val="center"/>
              <w:rPr>
                <w:rFonts w:asciiTheme="minorHAnsi" w:hAnsiTheme="minorHAnsi"/>
                <w:b/>
                <w:sz w:val="20"/>
                <w:szCs w:val="20"/>
              </w:rPr>
            </w:pPr>
            <w:r>
              <w:rPr>
                <w:rFonts w:asciiTheme="minorHAnsi" w:hAnsiTheme="minorHAnsi"/>
                <w:b/>
                <w:sz w:val="20"/>
                <w:szCs w:val="20"/>
              </w:rPr>
              <w:t>bathing</w:t>
            </w:r>
          </w:p>
          <w:p w:rsidR="00EC1D80"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EC1D80"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EC1D80" w:rsidRDefault="005F5E3F" w:rsidP="00B853E1">
            <w:pPr>
              <w:jc w:val="center"/>
              <w:rPr>
                <w:rFonts w:asciiTheme="minorHAnsi" w:hAnsiTheme="minorHAnsi"/>
                <w:b/>
                <w:sz w:val="20"/>
                <w:szCs w:val="20"/>
              </w:rPr>
            </w:pPr>
            <w:r>
              <w:rPr>
                <w:rFonts w:asciiTheme="minorHAnsi" w:hAnsiTheme="minorHAnsi"/>
                <w:b/>
                <w:sz w:val="20"/>
                <w:szCs w:val="20"/>
              </w:rPr>
              <w:t>At least</w:t>
            </w:r>
          </w:p>
          <w:p w:rsidR="00EC1D80" w:rsidRDefault="005F5E3F" w:rsidP="00B853E1">
            <w:pPr>
              <w:jc w:val="center"/>
              <w:rPr>
                <w:rFonts w:asciiTheme="minorHAnsi" w:hAnsiTheme="minorHAnsi"/>
                <w:b/>
                <w:sz w:val="20"/>
                <w:szCs w:val="20"/>
              </w:rPr>
            </w:pPr>
            <w:r>
              <w:rPr>
                <w:rFonts w:asciiTheme="minorHAnsi" w:hAnsiTheme="minorHAnsi"/>
                <w:b/>
                <w:sz w:val="20"/>
                <w:szCs w:val="20"/>
              </w:rPr>
              <w:t>sufficient</w:t>
            </w:r>
          </w:p>
          <w:p w:rsidR="00EC1D80"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EC1D80"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EC1D80" w:rsidRDefault="005F5E3F" w:rsidP="00B853E1">
            <w:pPr>
              <w:jc w:val="center"/>
              <w:rPr>
                <w:rFonts w:asciiTheme="minorHAnsi" w:hAnsiTheme="minorHAnsi"/>
                <w:b/>
                <w:sz w:val="20"/>
                <w:szCs w:val="20"/>
              </w:rPr>
            </w:pPr>
            <w:r>
              <w:rPr>
                <w:rFonts w:asciiTheme="minorHAnsi" w:hAnsiTheme="minorHAnsi"/>
                <w:b/>
                <w:sz w:val="20"/>
                <w:szCs w:val="20"/>
              </w:rPr>
              <w:t>Quality</w:t>
            </w:r>
          </w:p>
          <w:p w:rsidR="00EC1D80"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EC1D80"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EC1D80"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EC1D80" w:rsidRDefault="005F5E3F" w:rsidP="00B853E1">
            <w:pPr>
              <w:jc w:val="center"/>
              <w:rPr>
                <w:rFonts w:asciiTheme="minorHAnsi" w:hAnsiTheme="minorHAnsi"/>
                <w:b/>
                <w:sz w:val="20"/>
                <w:szCs w:val="20"/>
              </w:rPr>
            </w:pPr>
            <w:r>
              <w:rPr>
                <w:rFonts w:asciiTheme="minorHAnsi" w:hAnsiTheme="minorHAnsi"/>
                <w:b/>
                <w:sz w:val="20"/>
                <w:szCs w:val="20"/>
              </w:rPr>
              <w:t>/new bathing</w:t>
            </w:r>
          </w:p>
          <w:p w:rsidR="00EC1D80" w:rsidRDefault="005F5E3F" w:rsidP="00B853E1">
            <w:pPr>
              <w:jc w:val="center"/>
              <w:rPr>
                <w:rFonts w:asciiTheme="minorHAnsi" w:hAnsiTheme="minorHAnsi"/>
                <w:b/>
                <w:sz w:val="20"/>
                <w:szCs w:val="20"/>
              </w:rPr>
            </w:pPr>
            <w:r>
              <w:rPr>
                <w:rFonts w:asciiTheme="minorHAnsi" w:hAnsiTheme="minorHAnsi"/>
                <w:b/>
                <w:sz w:val="20"/>
                <w:szCs w:val="20"/>
              </w:rPr>
              <w:t>waters/bathing</w:t>
            </w:r>
          </w:p>
          <w:p w:rsidR="00EC1D80"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EC1D80" w:rsidTr="005F5E3F">
        <w:tc>
          <w:tcPr>
            <w:tcW w:w="1276" w:type="dxa"/>
            <w:gridSpan w:val="2"/>
            <w:vMerge/>
            <w:tcBorders>
              <w:bottom w:val="single" w:sz="4" w:space="0" w:color="808080" w:themeColor="background1" w:themeShade="80"/>
            </w:tcBorders>
            <w:shd w:val="clear" w:color="auto" w:fill="F2F2F2" w:themeFill="background1" w:themeFillShade="F2"/>
          </w:tcPr>
          <w:p w:rsidR="00EC1D80" w:rsidRDefault="00EC1D80"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EC1D80" w:rsidRDefault="00EC1D80"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EC1D8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EC1D8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EC1D8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EC1D80"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EC1D8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EC1D80"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EC1D80"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EC1D80" w:rsidRDefault="005F5E3F" w:rsidP="00430B97">
            <w:pPr>
              <w:jc w:val="center"/>
              <w:rPr>
                <w:rFonts w:asciiTheme="minorHAnsi" w:hAnsiTheme="minorHAnsi"/>
                <w:b/>
                <w:sz w:val="20"/>
                <w:szCs w:val="20"/>
              </w:rPr>
            </w:pPr>
            <w:r>
              <w:rPr>
                <w:rFonts w:asciiTheme="minorHAnsi" w:hAnsiTheme="minorHAnsi"/>
                <w:b/>
                <w:sz w:val="20"/>
                <w:szCs w:val="20"/>
              </w:rPr>
              <w:t>%</w:t>
            </w:r>
          </w:p>
        </w:tc>
      </w:tr>
      <w:tr w:rsidR="00EC1D8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425FA1">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10</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37.0</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22</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81.5</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3</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11.1</w:t>
            </w:r>
          </w:p>
        </w:tc>
      </w:tr>
      <w:tr w:rsidR="00EC1D8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5C19AE">
            <w:pPr>
              <w:jc w:val="center"/>
              <w:rPr>
                <w:rFonts w:asciiTheme="minorHAnsi" w:hAnsiTheme="minorHAnsi"/>
                <w:sz w:val="20"/>
                <w:szCs w:val="20"/>
              </w:rPr>
            </w:pPr>
            <w:r>
              <w:rPr>
                <w:rFonts w:asciiTheme="minorHAnsi" w:hAnsiTheme="minorHAnsi"/>
                <w:sz w:val="20"/>
                <w:szCs w:val="20"/>
              </w:rPr>
              <w:t>Coastal</w:t>
            </w:r>
          </w:p>
          <w:p w:rsidR="00EC1D80" w:rsidRDefault="00EC1D8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11</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40.7</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25</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92.6</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r>
      <w:tr w:rsidR="00EC1D8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5C19AE">
            <w:pPr>
              <w:jc w:val="center"/>
              <w:rPr>
                <w:rFonts w:asciiTheme="minorHAnsi" w:hAnsiTheme="minorHAnsi"/>
                <w:sz w:val="20"/>
                <w:szCs w:val="20"/>
              </w:rPr>
            </w:pPr>
            <w:r>
              <w:rPr>
                <w:rFonts w:asciiTheme="minorHAnsi" w:hAnsiTheme="minorHAnsi"/>
                <w:sz w:val="20"/>
                <w:szCs w:val="20"/>
              </w:rPr>
              <w:t>Coastal</w:t>
            </w:r>
          </w:p>
          <w:p w:rsidR="00EC1D80" w:rsidRDefault="00EC1D8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51.9</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25</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92.6</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r>
      <w:tr w:rsidR="00EC1D8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5C19AE">
            <w:pPr>
              <w:jc w:val="center"/>
              <w:rPr>
                <w:rFonts w:asciiTheme="minorHAnsi" w:hAnsiTheme="minorHAnsi"/>
                <w:sz w:val="20"/>
                <w:szCs w:val="20"/>
              </w:rPr>
            </w:pPr>
            <w:r>
              <w:rPr>
                <w:rFonts w:asciiTheme="minorHAnsi" w:hAnsiTheme="minorHAnsi"/>
                <w:sz w:val="20"/>
                <w:szCs w:val="20"/>
              </w:rPr>
              <w:t>Coastal</w:t>
            </w:r>
          </w:p>
          <w:p w:rsidR="00EC1D80" w:rsidRDefault="00EC1D80"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14</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51.9</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23</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85.2</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r>
      <w:tr w:rsidR="00EC1D80"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425FA1">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23</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85.2</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25</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92.6</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3.7</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3.7</w:t>
            </w:r>
          </w:p>
        </w:tc>
      </w:tr>
      <w:tr w:rsidR="00EC1D8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EC1D80" w:rsidRDefault="00EC1D8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23</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85.2</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26</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96.3</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3.7</w:t>
            </w:r>
          </w:p>
        </w:tc>
      </w:tr>
      <w:tr w:rsidR="00EC1D8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EC1D80" w:rsidRDefault="00EC1D8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22</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81.5</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26</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96.3</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1</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3.7</w:t>
            </w:r>
          </w:p>
        </w:tc>
      </w:tr>
      <w:tr w:rsidR="00EC1D80"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EC1D80"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EC1D80" w:rsidRDefault="00EC1D80"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27</w:t>
            </w:r>
          </w:p>
        </w:tc>
        <w:tc>
          <w:tcPr>
            <w:tcW w:w="939"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20</w:t>
            </w:r>
          </w:p>
        </w:tc>
        <w:tc>
          <w:tcPr>
            <w:tcW w:w="904"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74.1</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23</w:t>
            </w:r>
          </w:p>
        </w:tc>
        <w:tc>
          <w:tcPr>
            <w:tcW w:w="99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85.2</w:t>
            </w:r>
          </w:p>
        </w:tc>
        <w:tc>
          <w:tcPr>
            <w:tcW w:w="992"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c>
          <w:tcPr>
            <w:tcW w:w="903"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2</w:t>
            </w:r>
          </w:p>
        </w:tc>
        <w:tc>
          <w:tcPr>
            <w:tcW w:w="940" w:type="dxa"/>
            <w:tcBorders>
              <w:top w:val="single" w:sz="4" w:space="0" w:color="808080" w:themeColor="background1" w:themeShade="80"/>
              <w:bottom w:val="single" w:sz="4" w:space="0" w:color="808080" w:themeColor="background1" w:themeShade="80"/>
            </w:tcBorders>
            <w:vAlign w:val="center"/>
          </w:tcPr>
          <w:p w:rsidR="00EC1D80" w:rsidRDefault="005F5E3F" w:rsidP="002E7263">
            <w:pPr>
              <w:jc w:val="right"/>
              <w:rPr>
                <w:rFonts w:asciiTheme="minorHAnsi" w:hAnsiTheme="minorHAnsi"/>
                <w:sz w:val="20"/>
                <w:szCs w:val="20"/>
              </w:rPr>
            </w:pPr>
            <w:r>
              <w:rPr>
                <w:rFonts w:asciiTheme="minorHAnsi" w:hAnsiTheme="minorHAnsi"/>
                <w:sz w:val="20"/>
                <w:szCs w:val="20"/>
              </w:rPr>
              <w:t>7.4</w:t>
            </w:r>
          </w:p>
        </w:tc>
      </w:tr>
      <w:tr w:rsidR="00EC1D80" w:rsidTr="005F5E3F">
        <w:trPr>
          <w:cantSplit/>
          <w:trHeight w:val="425"/>
        </w:trPr>
        <w:tc>
          <w:tcPr>
            <w:tcW w:w="426" w:type="dxa"/>
            <w:vMerge w:val="restart"/>
            <w:tcBorders>
              <w:top w:val="single" w:sz="4" w:space="0" w:color="808080" w:themeColor="background1" w:themeShade="80"/>
            </w:tcBorders>
            <w:textDirection w:val="btLr"/>
            <w:vAlign w:val="center"/>
          </w:tcPr>
          <w:p w:rsidR="00EC1D80" w:rsidRDefault="005F5E3F" w:rsidP="00425FA1">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54</w:t>
            </w:r>
          </w:p>
        </w:tc>
        <w:tc>
          <w:tcPr>
            <w:tcW w:w="939"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33</w:t>
            </w:r>
          </w:p>
        </w:tc>
        <w:tc>
          <w:tcPr>
            <w:tcW w:w="904"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61.1</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47</w:t>
            </w:r>
          </w:p>
        </w:tc>
        <w:tc>
          <w:tcPr>
            <w:tcW w:w="99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87.0</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5.6</w:t>
            </w:r>
          </w:p>
        </w:tc>
        <w:tc>
          <w:tcPr>
            <w:tcW w:w="90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4</w:t>
            </w:r>
          </w:p>
        </w:tc>
        <w:tc>
          <w:tcPr>
            <w:tcW w:w="94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7.4</w:t>
            </w:r>
          </w:p>
        </w:tc>
      </w:tr>
      <w:tr w:rsidR="00EC1D80" w:rsidTr="005F5E3F">
        <w:trPr>
          <w:cantSplit/>
          <w:trHeight w:val="425"/>
        </w:trPr>
        <w:tc>
          <w:tcPr>
            <w:tcW w:w="426" w:type="dxa"/>
            <w:vMerge/>
            <w:tcBorders>
              <w:top w:val="single" w:sz="4" w:space="0" w:color="808080" w:themeColor="background1" w:themeShade="80"/>
            </w:tcBorders>
            <w:textDirection w:val="btLr"/>
            <w:vAlign w:val="center"/>
          </w:tcPr>
          <w:p w:rsidR="00EC1D8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EC1D80" w:rsidRDefault="00EC1D8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54</w:t>
            </w:r>
          </w:p>
        </w:tc>
        <w:tc>
          <w:tcPr>
            <w:tcW w:w="939"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34</w:t>
            </w:r>
          </w:p>
        </w:tc>
        <w:tc>
          <w:tcPr>
            <w:tcW w:w="904"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63.0</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51</w:t>
            </w:r>
          </w:p>
        </w:tc>
        <w:tc>
          <w:tcPr>
            <w:tcW w:w="99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94.4</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5.6</w:t>
            </w:r>
          </w:p>
        </w:tc>
      </w:tr>
      <w:tr w:rsidR="00EC1D80" w:rsidTr="005F5E3F">
        <w:trPr>
          <w:cantSplit/>
          <w:trHeight w:val="425"/>
        </w:trPr>
        <w:tc>
          <w:tcPr>
            <w:tcW w:w="426" w:type="dxa"/>
            <w:vMerge/>
            <w:tcBorders>
              <w:top w:val="single" w:sz="4" w:space="0" w:color="808080" w:themeColor="background1" w:themeShade="80"/>
            </w:tcBorders>
            <w:textDirection w:val="btLr"/>
            <w:vAlign w:val="center"/>
          </w:tcPr>
          <w:p w:rsidR="00EC1D8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EC1D80" w:rsidRDefault="00EC1D8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54</w:t>
            </w:r>
          </w:p>
        </w:tc>
        <w:tc>
          <w:tcPr>
            <w:tcW w:w="939"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36</w:t>
            </w:r>
          </w:p>
        </w:tc>
        <w:tc>
          <w:tcPr>
            <w:tcW w:w="904"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66.7</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51</w:t>
            </w:r>
          </w:p>
        </w:tc>
        <w:tc>
          <w:tcPr>
            <w:tcW w:w="99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94.4</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0</w:t>
            </w: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0.0</w:t>
            </w:r>
          </w:p>
        </w:tc>
        <w:tc>
          <w:tcPr>
            <w:tcW w:w="90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w:t>
            </w:r>
          </w:p>
        </w:tc>
        <w:tc>
          <w:tcPr>
            <w:tcW w:w="94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5.6</w:t>
            </w:r>
          </w:p>
        </w:tc>
      </w:tr>
      <w:tr w:rsidR="00EC1D80" w:rsidTr="005F5E3F">
        <w:trPr>
          <w:cantSplit/>
          <w:trHeight w:val="425"/>
        </w:trPr>
        <w:tc>
          <w:tcPr>
            <w:tcW w:w="426" w:type="dxa"/>
            <w:vMerge/>
            <w:tcBorders>
              <w:top w:val="single" w:sz="4" w:space="0" w:color="808080" w:themeColor="background1" w:themeShade="80"/>
            </w:tcBorders>
            <w:textDirection w:val="btLr"/>
            <w:vAlign w:val="center"/>
          </w:tcPr>
          <w:p w:rsidR="00EC1D80"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EC1D80" w:rsidRDefault="00EC1D80"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54</w:t>
            </w:r>
          </w:p>
        </w:tc>
        <w:tc>
          <w:tcPr>
            <w:tcW w:w="939"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34</w:t>
            </w:r>
          </w:p>
        </w:tc>
        <w:tc>
          <w:tcPr>
            <w:tcW w:w="904"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63.0</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46</w:t>
            </w:r>
          </w:p>
        </w:tc>
        <w:tc>
          <w:tcPr>
            <w:tcW w:w="99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85.2</w:t>
            </w:r>
          </w:p>
        </w:tc>
        <w:tc>
          <w:tcPr>
            <w:tcW w:w="992"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4</w:t>
            </w:r>
          </w:p>
        </w:tc>
        <w:tc>
          <w:tcPr>
            <w:tcW w:w="85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7.4</w:t>
            </w:r>
          </w:p>
        </w:tc>
        <w:tc>
          <w:tcPr>
            <w:tcW w:w="903"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4</w:t>
            </w:r>
          </w:p>
        </w:tc>
        <w:tc>
          <w:tcPr>
            <w:tcW w:w="940" w:type="dxa"/>
            <w:tcBorders>
              <w:top w:val="single" w:sz="4" w:space="0" w:color="808080" w:themeColor="background1" w:themeShade="80"/>
            </w:tcBorders>
            <w:vAlign w:val="center"/>
          </w:tcPr>
          <w:p w:rsidR="00EC1D80" w:rsidRDefault="005F5E3F" w:rsidP="002E7263">
            <w:pPr>
              <w:jc w:val="right"/>
              <w:rPr>
                <w:rFonts w:asciiTheme="minorHAnsi" w:hAnsiTheme="minorHAnsi"/>
                <w:b/>
                <w:sz w:val="20"/>
                <w:szCs w:val="20"/>
              </w:rPr>
            </w:pPr>
            <w:r>
              <w:rPr>
                <w:rFonts w:asciiTheme="minorHAnsi" w:hAnsiTheme="minorHAnsi"/>
                <w:b/>
                <w:sz w:val="20"/>
                <w:szCs w:val="20"/>
              </w:rPr>
              <w:t>7.4</w:t>
            </w:r>
          </w:p>
        </w:tc>
      </w:tr>
    </w:tbl>
    <w:p w:rsidR="00EC1D80"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EC1D80" w:rsidRDefault="002B438D" w:rsidP="00ED3BDC">
      <w:r>
        <w:br w:type="page"/>
      </w:r>
    </w:p>
    <w:p w:rsidR="00EC1D80" w:rsidRDefault="002B438D" w:rsidP="00ED3BDC">
      <w:pPr>
        <w:rPr>
          <w:b/>
          <w:sz w:val="28"/>
        </w:rPr>
      </w:pPr>
      <w:r>
        <w:rPr>
          <w:b/>
          <w:sz w:val="28"/>
        </w:rPr>
        <w:lastRenderedPageBreak/>
        <w:t>Appendix 2: Bathing water quality map</w:t>
      </w:r>
    </w:p>
    <w:p w:rsidR="00EC1D80" w:rsidRDefault="00EC1D80" w:rsidP="00ED3BDC"/>
    <w:p w:rsidR="00EC1D80" w:rsidRDefault="00425FA1" w:rsidP="00ED3BDC">
      <w:r>
        <w:rPr>
          <w:noProof/>
          <w:lang w:eastAsia="en-GB"/>
        </w:rPr>
        <w:drawing>
          <wp:inline distT="0" distB="0" distL="0" distR="0">
            <wp:extent cx="6188710" cy="8008919"/>
            <wp:effectExtent l="0" t="0" r="2540" b="0"/>
            <wp:docPr id="4" name="Picture 4" descr="D:\Projekti\BWD\BWD 2017\National reports\GIS\map\NationalReports\PNG\20180420\EE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EE_20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EC1D80" w:rsidSect="00344240">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6C" w:rsidRDefault="00574C6C" w:rsidP="00ED3BDC">
      <w:r>
        <w:separator/>
      </w:r>
    </w:p>
  </w:endnote>
  <w:endnote w:type="continuationSeparator" w:id="0">
    <w:p w:rsidR="00574C6C" w:rsidRDefault="00574C6C" w:rsidP="00ED3BDC">
      <w:r>
        <w:continuationSeparator/>
      </w:r>
    </w:p>
  </w:endnote>
  <w:endnote w:type="continuationNotice" w:id="1">
    <w:p w:rsidR="00574C6C" w:rsidRDefault="00574C6C"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80" w:rsidRDefault="00EC1D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80" w:rsidRDefault="00EC1D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80" w:rsidRDefault="00EC1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6C" w:rsidRDefault="00574C6C" w:rsidP="00ED3BDC">
      <w:r>
        <w:separator/>
      </w:r>
    </w:p>
  </w:footnote>
  <w:footnote w:type="continuationSeparator" w:id="0">
    <w:p w:rsidR="00574C6C" w:rsidRDefault="00574C6C" w:rsidP="00ED3BDC">
      <w:r>
        <w:continuationSeparator/>
      </w:r>
    </w:p>
  </w:footnote>
  <w:footnote w:type="continuationNotice" w:id="1">
    <w:p w:rsidR="00574C6C" w:rsidRDefault="00574C6C"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80" w:rsidRDefault="00EC1D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80" w:rsidRDefault="00EC1D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80"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25FA1"/>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4C6C"/>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1D80"/>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vironment/water/index_en.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vtiav.sm.ee/index.php/?active_tab_id=S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vtiav.sm.ee/index.php/?active_tab_id=SV" TargetMode="External"/><Relationship Id="rId14" Type="http://schemas.openxmlformats.org/officeDocument/2006/relationships/hyperlink" Target="http://www.eea.europa.eu/themes/water/interactive/bathing/state-of-bathing-water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0.375</c:v>
                </c:pt>
                <c:pt idx="1">
                  <c:v>0.38240000000000002</c:v>
                </c:pt>
                <c:pt idx="2">
                  <c:v>0.47060000000000002</c:v>
                </c:pt>
                <c:pt idx="3">
                  <c:v>0.4118</c:v>
                </c:pt>
                <c:pt idx="4">
                  <c:v>0.42859999999999998</c:v>
                </c:pt>
                <c:pt idx="5">
                  <c:v>0.55559999999999998</c:v>
                </c:pt>
                <c:pt idx="6">
                  <c:v>0.70369999999999999</c:v>
                </c:pt>
                <c:pt idx="7">
                  <c:v>0.48149999999999998</c:v>
                </c:pt>
                <c:pt idx="8">
                  <c:v>0.40739999999999998</c:v>
                </c:pt>
                <c:pt idx="9">
                  <c:v>0.42309999999999998</c:v>
                </c:pt>
                <c:pt idx="10">
                  <c:v>0.37040000000000001</c:v>
                </c:pt>
                <c:pt idx="11">
                  <c:v>0.40739999999999998</c:v>
                </c:pt>
                <c:pt idx="12">
                  <c:v>0.51849999999999996</c:v>
                </c:pt>
                <c:pt idx="13">
                  <c:v>0.51849999999999996</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0.75</c:v>
                </c:pt>
                <c:pt idx="1">
                  <c:v>0.76470000000000005</c:v>
                </c:pt>
                <c:pt idx="2">
                  <c:v>0.91180000000000005</c:v>
                </c:pt>
                <c:pt idx="3">
                  <c:v>0.91180000000000005</c:v>
                </c:pt>
                <c:pt idx="4">
                  <c:v>1</c:v>
                </c:pt>
                <c:pt idx="5">
                  <c:v>0.96299999999999997</c:v>
                </c:pt>
                <c:pt idx="6">
                  <c:v>1</c:v>
                </c:pt>
                <c:pt idx="7">
                  <c:v>0.92589999999999995</c:v>
                </c:pt>
                <c:pt idx="8">
                  <c:v>0.85189999999999999</c:v>
                </c:pt>
                <c:pt idx="9">
                  <c:v>0.88460000000000005</c:v>
                </c:pt>
                <c:pt idx="10">
                  <c:v>0.81479999999999997</c:v>
                </c:pt>
                <c:pt idx="11">
                  <c:v>0.92589999999999995</c:v>
                </c:pt>
                <c:pt idx="12">
                  <c:v>0.92589999999999995</c:v>
                </c:pt>
                <c:pt idx="13">
                  <c:v>0.85189999999999999</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0.125</c:v>
                </c:pt>
                <c:pt idx="1">
                  <c:v>0.23530000000000001</c:v>
                </c:pt>
                <c:pt idx="2">
                  <c:v>8.8200000000000001E-2</c:v>
                </c:pt>
                <c:pt idx="3">
                  <c:v>8.8200000000000001E-2</c:v>
                </c:pt>
                <c:pt idx="4">
                  <c:v>0</c:v>
                </c:pt>
                <c:pt idx="5">
                  <c:v>0</c:v>
                </c:pt>
                <c:pt idx="6">
                  <c:v>0</c:v>
                </c:pt>
                <c:pt idx="7">
                  <c:v>7.4099999999999999E-2</c:v>
                </c:pt>
                <c:pt idx="8">
                  <c:v>0</c:v>
                </c:pt>
                <c:pt idx="9">
                  <c:v>7.6899999999999996E-2</c:v>
                </c:pt>
                <c:pt idx="10">
                  <c:v>7.4099999999999999E-2</c:v>
                </c:pt>
                <c:pt idx="11">
                  <c:v>0</c:v>
                </c:pt>
                <c:pt idx="12">
                  <c:v>0</c:v>
                </c:pt>
                <c:pt idx="13">
                  <c:v>7.4099999999999999E-2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0.125</c:v>
                </c:pt>
                <c:pt idx="1">
                  <c:v>0</c:v>
                </c:pt>
                <c:pt idx="2">
                  <c:v>0</c:v>
                </c:pt>
                <c:pt idx="3">
                  <c:v>0</c:v>
                </c:pt>
                <c:pt idx="4">
                  <c:v>0</c:v>
                </c:pt>
                <c:pt idx="5">
                  <c:v>3.6999999999999998E-2</c:v>
                </c:pt>
                <c:pt idx="6">
                  <c:v>0</c:v>
                </c:pt>
                <c:pt idx="7">
                  <c:v>0</c:v>
                </c:pt>
                <c:pt idx="8">
                  <c:v>0.14810000000000001</c:v>
                </c:pt>
                <c:pt idx="9">
                  <c:v>3.85E-2</c:v>
                </c:pt>
                <c:pt idx="10">
                  <c:v>0.1111</c:v>
                </c:pt>
                <c:pt idx="11">
                  <c:v>7.4099999999999999E-2</c:v>
                </c:pt>
                <c:pt idx="12">
                  <c:v>7.4099999999999999E-2</c:v>
                </c:pt>
                <c:pt idx="13">
                  <c:v>7.4099999999999999E-2</c:v>
                </c:pt>
              </c:numCache>
            </c:numRef>
          </c:val>
          <c:smooth val="0"/>
        </c:ser>
        <c:dLbls>
          <c:showLegendKey val="0"/>
          <c:showVal val="0"/>
          <c:showCatName val="0"/>
          <c:showSerName val="0"/>
          <c:showPercent val="0"/>
          <c:showBubbleSize val="0"/>
        </c:dLbls>
        <c:marker val="1"/>
        <c:smooth val="0"/>
        <c:axId val="266533888"/>
        <c:axId val="266577024"/>
      </c:lineChart>
      <c:catAx>
        <c:axId val="266533888"/>
        <c:scaling>
          <c:orientation val="minMax"/>
        </c:scaling>
        <c:delete val="0"/>
        <c:axPos val="b"/>
        <c:numFmt formatCode="@" sourceLinked="0"/>
        <c:majorTickMark val="out"/>
        <c:minorTickMark val="none"/>
        <c:tickLblPos val="nextTo"/>
        <c:crossAx val="266577024"/>
        <c:crosses val="autoZero"/>
        <c:auto val="1"/>
        <c:lblAlgn val="ctr"/>
        <c:lblOffset val="100"/>
        <c:noMultiLvlLbl val="0"/>
      </c:catAx>
      <c:valAx>
        <c:axId val="26657702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66533888"/>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Feuil1!$B$2:$B$15</c:f>
              <c:numCache>
                <c:formatCode>General</c:formatCode>
                <c:ptCount val="14"/>
                <c:pt idx="0">
                  <c:v>0.5333</c:v>
                </c:pt>
                <c:pt idx="1">
                  <c:v>0.57889999999999997</c:v>
                </c:pt>
                <c:pt idx="2">
                  <c:v>0.81579999999999997</c:v>
                </c:pt>
                <c:pt idx="3">
                  <c:v>0.68420000000000003</c:v>
                </c:pt>
                <c:pt idx="4">
                  <c:v>0.75</c:v>
                </c:pt>
                <c:pt idx="5">
                  <c:v>0.67859999999999998</c:v>
                </c:pt>
                <c:pt idx="6">
                  <c:v>0.71430000000000005</c:v>
                </c:pt>
                <c:pt idx="7">
                  <c:v>0.92859999999999998</c:v>
                </c:pt>
                <c:pt idx="8">
                  <c:v>0.88890000000000002</c:v>
                </c:pt>
                <c:pt idx="9">
                  <c:v>0.85189999999999999</c:v>
                </c:pt>
                <c:pt idx="10">
                  <c:v>0.85189999999999999</c:v>
                </c:pt>
                <c:pt idx="11">
                  <c:v>0.85189999999999999</c:v>
                </c:pt>
                <c:pt idx="12">
                  <c:v>0.81479999999999997</c:v>
                </c:pt>
                <c:pt idx="13">
                  <c:v>0.74070000000000003</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Feuil1!$C$2:$C$15</c:f>
              <c:numCache>
                <c:formatCode>General</c:formatCode>
                <c:ptCount val="14"/>
                <c:pt idx="0">
                  <c:v>0.6</c:v>
                </c:pt>
                <c:pt idx="1">
                  <c:v>1</c:v>
                </c:pt>
                <c:pt idx="2">
                  <c:v>1</c:v>
                </c:pt>
                <c:pt idx="3">
                  <c:v>0.97370000000000001</c:v>
                </c:pt>
                <c:pt idx="4">
                  <c:v>1</c:v>
                </c:pt>
                <c:pt idx="5">
                  <c:v>0.96430000000000005</c:v>
                </c:pt>
                <c:pt idx="6">
                  <c:v>1</c:v>
                </c:pt>
                <c:pt idx="7">
                  <c:v>1</c:v>
                </c:pt>
                <c:pt idx="8">
                  <c:v>1</c:v>
                </c:pt>
                <c:pt idx="9">
                  <c:v>0.92589999999999995</c:v>
                </c:pt>
                <c:pt idx="10">
                  <c:v>0.92589999999999995</c:v>
                </c:pt>
                <c:pt idx="11">
                  <c:v>0.96299999999999997</c:v>
                </c:pt>
                <c:pt idx="12">
                  <c:v>0.96299999999999997</c:v>
                </c:pt>
                <c:pt idx="13">
                  <c:v>0.85189999999999999</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Feuil1!$D$2:$D$15</c:f>
              <c:numCache>
                <c:formatCode>General</c:formatCode>
                <c:ptCount val="14"/>
                <c:pt idx="0">
                  <c:v>6.6699999999999995E-2</c:v>
                </c:pt>
                <c:pt idx="1">
                  <c:v>0</c:v>
                </c:pt>
                <c:pt idx="2">
                  <c:v>0</c:v>
                </c:pt>
                <c:pt idx="3">
                  <c:v>2.63E-2</c:v>
                </c:pt>
                <c:pt idx="4">
                  <c:v>0</c:v>
                </c:pt>
                <c:pt idx="5">
                  <c:v>0</c:v>
                </c:pt>
                <c:pt idx="6">
                  <c:v>0</c:v>
                </c:pt>
                <c:pt idx="7">
                  <c:v>0</c:v>
                </c:pt>
                <c:pt idx="8">
                  <c:v>0</c:v>
                </c:pt>
                <c:pt idx="9">
                  <c:v>3.6999999999999998E-2</c:v>
                </c:pt>
                <c:pt idx="10">
                  <c:v>3.6999999999999998E-2</c:v>
                </c:pt>
                <c:pt idx="11">
                  <c:v>0</c:v>
                </c:pt>
                <c:pt idx="12">
                  <c:v>0</c:v>
                </c:pt>
                <c:pt idx="13">
                  <c:v>7.4099999999999999E-2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Feuil1!$A$2:$A$15</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Feuil1!$E$2:$E$15</c:f>
              <c:numCache>
                <c:formatCode>General</c:formatCode>
                <c:ptCount val="14"/>
                <c:pt idx="0">
                  <c:v>0.33329999999999999</c:v>
                </c:pt>
                <c:pt idx="1">
                  <c:v>0</c:v>
                </c:pt>
                <c:pt idx="2">
                  <c:v>0</c:v>
                </c:pt>
                <c:pt idx="3">
                  <c:v>0</c:v>
                </c:pt>
                <c:pt idx="4">
                  <c:v>0</c:v>
                </c:pt>
                <c:pt idx="5">
                  <c:v>3.5700000000000003E-2</c:v>
                </c:pt>
                <c:pt idx="6">
                  <c:v>0</c:v>
                </c:pt>
                <c:pt idx="7">
                  <c:v>0</c:v>
                </c:pt>
                <c:pt idx="8">
                  <c:v>0</c:v>
                </c:pt>
                <c:pt idx="9">
                  <c:v>3.6999999999999998E-2</c:v>
                </c:pt>
                <c:pt idx="10">
                  <c:v>3.6999999999999998E-2</c:v>
                </c:pt>
                <c:pt idx="11">
                  <c:v>3.6999999999999998E-2</c:v>
                </c:pt>
                <c:pt idx="12">
                  <c:v>3.6999999999999998E-2</c:v>
                </c:pt>
                <c:pt idx="13">
                  <c:v>7.4099999999999999E-2</c:v>
                </c:pt>
              </c:numCache>
            </c:numRef>
          </c:val>
          <c:smooth val="0"/>
        </c:ser>
        <c:dLbls>
          <c:showLegendKey val="0"/>
          <c:showVal val="0"/>
          <c:showCatName val="0"/>
          <c:showSerName val="0"/>
          <c:showPercent val="0"/>
          <c:showBubbleSize val="0"/>
        </c:dLbls>
        <c:marker val="1"/>
        <c:smooth val="0"/>
        <c:axId val="200647424"/>
        <c:axId val="200648960"/>
      </c:lineChart>
      <c:catAx>
        <c:axId val="200647424"/>
        <c:scaling>
          <c:orientation val="minMax"/>
        </c:scaling>
        <c:delete val="0"/>
        <c:axPos val="b"/>
        <c:numFmt formatCode="@" sourceLinked="0"/>
        <c:majorTickMark val="out"/>
        <c:minorTickMark val="none"/>
        <c:tickLblPos val="nextTo"/>
        <c:crossAx val="200648960"/>
        <c:crosses val="autoZero"/>
        <c:auto val="1"/>
        <c:lblAlgn val="ctr"/>
        <c:lblOffset val="100"/>
        <c:noMultiLvlLbl val="0"/>
      </c:catAx>
      <c:valAx>
        <c:axId val="20064896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00647424"/>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2FE01-BE64-49EE-8975-3798743D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3034</TotalTime>
  <Pages>8</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2018-04-25T15:11:00Z</dcterms:modified>
</cp:coreProperties>
</file>