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1F" w:rsidRDefault="002D0F1F" w:rsidP="00ED3BDC"/>
    <w:p w:rsidR="002D0F1F" w:rsidRDefault="00E95009" w:rsidP="00B67D96">
      <w:pPr>
        <w:jc w:val="center"/>
        <w:rPr>
          <w:rFonts w:cs="Arial"/>
          <w:b/>
          <w:bCs/>
          <w:sz w:val="32"/>
        </w:rPr>
      </w:pPr>
      <w:r>
        <w:rPr>
          <w:b/>
          <w:sz w:val="32"/>
        </w:rPr>
        <w:t xml:space="preserve">BWD Report For the Bathing Season </w:t>
      </w:r>
      <w:r>
        <w:rPr>
          <w:rFonts w:cs="Arial"/>
          <w:b/>
          <w:bCs/>
          <w:sz w:val="32"/>
        </w:rPr>
        <w:t>2017</w:t>
      </w:r>
    </w:p>
    <w:p w:rsidR="002D0F1F" w:rsidRDefault="0079462E" w:rsidP="00B67D96">
      <w:pPr>
        <w:jc w:val="center"/>
        <w:rPr>
          <w:b/>
          <w:sz w:val="40"/>
        </w:rPr>
      </w:pPr>
      <w:r>
        <w:rPr>
          <w:b/>
          <w:sz w:val="40"/>
        </w:rPr>
        <w:t>Denmark</w:t>
      </w:r>
      <w:bookmarkStart w:id="0" w:name="_GoBack"/>
      <w:bookmarkEnd w:id="0"/>
    </w:p>
    <w:p w:rsidR="002D0F1F" w:rsidRDefault="002D0F1F" w:rsidP="00ED3BDC"/>
    <w:p w:rsidR="002D0F1F" w:rsidRDefault="002D0F1F" w:rsidP="00ED3BDC"/>
    <w:p w:rsidR="002D0F1F"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Denmark.</w:t>
      </w:r>
    </w:p>
    <w:p w:rsidR="002D0F1F" w:rsidRDefault="002D0F1F" w:rsidP="00ED3BDC"/>
    <w:p w:rsidR="002D0F1F" w:rsidRDefault="002D0F1F" w:rsidP="00ED3BDC"/>
    <w:p w:rsidR="002D0F1F" w:rsidRDefault="0079462E" w:rsidP="00ED3BDC">
      <w:pPr>
        <w:pStyle w:val="Heading1"/>
      </w:pPr>
      <w:r>
        <w:t xml:space="preserve">BWD reporting in the season </w:t>
      </w:r>
      <w:r>
        <w:rPr>
          <w:szCs w:val="28"/>
        </w:rPr>
        <w:t>2017</w:t>
      </w:r>
    </w:p>
    <w:p w:rsidR="002D0F1F" w:rsidRDefault="002D0F1F" w:rsidP="00ED3BDC"/>
    <w:p w:rsidR="002D0F1F"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2D0F1F" w:rsidRDefault="0079462E" w:rsidP="00442644">
                            <w:pPr>
                              <w:jc w:val="center"/>
                              <w:rPr>
                                <w:rFonts w:asciiTheme="minorHAnsi" w:hAnsiTheme="minorHAnsi"/>
                                <w:b/>
                              </w:rPr>
                            </w:pPr>
                            <w:r>
                              <w:rPr>
                                <w:rFonts w:asciiTheme="minorHAnsi" w:hAnsiTheme="minorHAnsi"/>
                                <w:b/>
                              </w:rPr>
                              <w:t>Bathing waters of Denmark in 2017</w:t>
                            </w:r>
                          </w:p>
                          <w:p w:rsidR="002D0F1F" w:rsidRDefault="002D0F1F" w:rsidP="00ED3BDC">
                            <w:pPr>
                              <w:rPr>
                                <w:rFonts w:asciiTheme="minorHAnsi" w:hAnsiTheme="minorHAnsi"/>
                                <w:sz w:val="20"/>
                              </w:rPr>
                            </w:pPr>
                          </w:p>
                          <w:p w:rsidR="002D0F1F"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1029</w:t>
                            </w:r>
                          </w:p>
                          <w:p w:rsidR="002D0F1F"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915</w:t>
                            </w:r>
                          </w:p>
                          <w:p w:rsidR="002D0F1F"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114</w:t>
                            </w:r>
                          </w:p>
                          <w:p w:rsidR="002D0F1F" w:rsidRDefault="002D0F1F" w:rsidP="00DB3D3B">
                            <w:pPr>
                              <w:tabs>
                                <w:tab w:val="right" w:pos="3544"/>
                              </w:tabs>
                              <w:rPr>
                                <w:rFonts w:asciiTheme="minorHAnsi" w:hAnsiTheme="minorHAnsi"/>
                                <w:sz w:val="20"/>
                              </w:rPr>
                            </w:pPr>
                          </w:p>
                          <w:p w:rsidR="002D0F1F" w:rsidRDefault="005C6B80" w:rsidP="00DB3D3B">
                            <w:pPr>
                              <w:tabs>
                                <w:tab w:val="right" w:pos="3544"/>
                              </w:tabs>
                              <w:rPr>
                                <w:rFonts w:asciiTheme="minorHAnsi" w:hAnsiTheme="minorHAnsi"/>
                                <w:b/>
                                <w:sz w:val="20"/>
                              </w:rPr>
                            </w:pPr>
                            <w:r>
                              <w:rPr>
                                <w:rFonts w:asciiTheme="minorHAnsi" w:hAnsiTheme="minorHAnsi"/>
                                <w:b/>
                                <w:sz w:val="20"/>
                              </w:rPr>
                              <w:t>Ordinary</w:t>
                            </w:r>
                            <w:r w:rsidR="008A3C2A">
                              <w:rPr>
                                <w:rFonts w:asciiTheme="minorHAnsi" w:hAnsiTheme="minorHAnsi"/>
                                <w:b/>
                                <w:sz w:val="20"/>
                              </w:rPr>
                              <w:t xml:space="preserve"> season period</w:t>
                            </w:r>
                            <w:r>
                              <w:rPr>
                                <w:rFonts w:asciiTheme="minorHAnsi" w:hAnsiTheme="minorHAnsi"/>
                                <w:b/>
                                <w:sz w:val="20"/>
                              </w:rPr>
                              <w:t>*</w:t>
                            </w:r>
                            <w:r w:rsidR="008A3C2A">
                              <w:rPr>
                                <w:rFonts w:asciiTheme="minorHAnsi" w:hAnsiTheme="minorHAnsi"/>
                                <w:b/>
                                <w:sz w:val="20"/>
                              </w:rPr>
                              <w:t xml:space="preserve"> </w:t>
                            </w:r>
                            <w:r w:rsidR="008A3C2A">
                              <w:rPr>
                                <w:rFonts w:asciiTheme="minorHAnsi" w:hAnsiTheme="minorHAnsi"/>
                                <w:b/>
                                <w:sz w:val="20"/>
                              </w:rPr>
                              <w:tab/>
                            </w:r>
                            <w:r>
                              <w:rPr>
                                <w:rFonts w:asciiTheme="minorHAnsi" w:hAnsiTheme="minorHAnsi"/>
                                <w:b/>
                                <w:sz w:val="20"/>
                              </w:rPr>
                              <w:t>93</w:t>
                            </w:r>
                            <w:r w:rsidR="008A3C2A">
                              <w:rPr>
                                <w:rFonts w:asciiTheme="minorHAnsi" w:hAnsiTheme="minorHAnsi"/>
                                <w:b/>
                                <w:sz w:val="20"/>
                              </w:rPr>
                              <w:t xml:space="preserve"> days</w:t>
                            </w:r>
                          </w:p>
                          <w:p w:rsidR="002D0F1F"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 xml:space="preserve">1 Jun to </w:t>
                            </w:r>
                            <w:r w:rsidR="005C6B80">
                              <w:rPr>
                                <w:rFonts w:asciiTheme="minorHAnsi" w:hAnsiTheme="minorHAnsi"/>
                                <w:sz w:val="20"/>
                              </w:rPr>
                              <w:t>1</w:t>
                            </w:r>
                            <w:r>
                              <w:rPr>
                                <w:rFonts w:asciiTheme="minorHAnsi" w:hAnsiTheme="minorHAnsi"/>
                                <w:sz w:val="20"/>
                              </w:rPr>
                              <w:t xml:space="preserve"> Sep</w:t>
                            </w:r>
                          </w:p>
                          <w:p w:rsidR="002D0F1F" w:rsidRDefault="005C6B80"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 xml:space="preserve">26 May to 1 </w:t>
                            </w:r>
                            <w:r w:rsidR="0079462E">
                              <w:rPr>
                                <w:rFonts w:asciiTheme="minorHAnsi" w:hAnsiTheme="minorHAnsi"/>
                                <w:sz w:val="20"/>
                              </w:rPr>
                              <w:t>Sep</w:t>
                            </w:r>
                          </w:p>
                          <w:p w:rsidR="002D0F1F" w:rsidRDefault="002D0F1F" w:rsidP="00ED3BDC">
                            <w:pPr>
                              <w:rPr>
                                <w:rFonts w:asciiTheme="minorHAnsi" w:hAnsiTheme="minorHAnsi"/>
                                <w:sz w:val="20"/>
                              </w:rPr>
                            </w:pPr>
                          </w:p>
                          <w:p w:rsidR="002D0F1F"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9100</w:t>
                            </w:r>
                          </w:p>
                          <w:p w:rsidR="002D0F1F" w:rsidRDefault="002D0F1F" w:rsidP="00ED3BDC">
                            <w:pPr>
                              <w:rPr>
                                <w:rFonts w:asciiTheme="minorHAnsi" w:hAnsiTheme="minorHAnsi"/>
                                <w:sz w:val="20"/>
                              </w:rPr>
                            </w:pPr>
                          </w:p>
                          <w:p w:rsidR="002D0F1F"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95 %</w:t>
                            </w:r>
                          </w:p>
                          <w:p w:rsidR="002D0F1F" w:rsidRDefault="0079462E" w:rsidP="00ED3BDC">
                            <w:pPr>
                              <w:rPr>
                                <w:rFonts w:asciiTheme="minorHAnsi" w:hAnsiTheme="minorHAnsi"/>
                                <w:b/>
                                <w:sz w:val="20"/>
                              </w:rPr>
                            </w:pPr>
                            <w:r>
                              <w:rPr>
                                <w:rFonts w:asciiTheme="minorHAnsi" w:hAnsiTheme="minorHAnsi"/>
                                <w:b/>
                                <w:sz w:val="20"/>
                              </w:rPr>
                              <w:t xml:space="preserve">with good or excellent </w:t>
                            </w:r>
                          </w:p>
                          <w:p w:rsidR="002D0F1F" w:rsidRDefault="0079462E" w:rsidP="00ED3BDC">
                            <w:pPr>
                              <w:rPr>
                                <w:rFonts w:asciiTheme="minorHAnsi" w:hAnsiTheme="minorHAnsi"/>
                                <w:b/>
                                <w:sz w:val="20"/>
                              </w:rPr>
                            </w:pPr>
                            <w:r>
                              <w:rPr>
                                <w:rFonts w:asciiTheme="minorHAnsi" w:hAnsiTheme="minorHAnsi"/>
                                <w:b/>
                                <w:sz w:val="20"/>
                              </w:rPr>
                              <w:t>water quality</w:t>
                            </w:r>
                          </w:p>
                          <w:p w:rsidR="002D0F1F" w:rsidRDefault="002D0F1F" w:rsidP="00ED3BDC">
                            <w:pPr>
                              <w:rPr>
                                <w:rFonts w:asciiTheme="minorHAnsi" w:hAnsiTheme="minorHAnsi"/>
                                <w:sz w:val="20"/>
                              </w:rPr>
                            </w:pPr>
                          </w:p>
                          <w:p w:rsidR="002D0F1F"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2D0F1F" w:rsidRDefault="008928A8" w:rsidP="00DB3D3B">
                            <w:pPr>
                              <w:tabs>
                                <w:tab w:val="right" w:pos="3544"/>
                              </w:tabs>
                              <w:rPr>
                                <w:rFonts w:asciiTheme="minorHAnsi" w:hAnsiTheme="minorHAnsi"/>
                                <w:b/>
                                <w:sz w:val="20"/>
                              </w:rPr>
                            </w:pPr>
                            <w:r>
                              <w:rPr>
                                <w:rFonts w:asciiTheme="minorHAnsi" w:hAnsiTheme="minorHAnsi"/>
                                <w:b/>
                                <w:sz w:val="20"/>
                              </w:rPr>
                              <w:t>Directive 2006/7/EC since</w:t>
                            </w:r>
                          </w:p>
                          <w:p w:rsidR="005C6B80" w:rsidRDefault="005C6B80" w:rsidP="00DB3D3B">
                            <w:pPr>
                              <w:tabs>
                                <w:tab w:val="right" w:pos="3544"/>
                              </w:tabs>
                              <w:rPr>
                                <w:rFonts w:asciiTheme="minorHAnsi" w:hAnsiTheme="minorHAnsi"/>
                                <w:b/>
                                <w:sz w:val="20"/>
                              </w:rPr>
                            </w:pPr>
                          </w:p>
                          <w:p w:rsidR="005C6B80" w:rsidRPr="005C6B80" w:rsidRDefault="005C6B80" w:rsidP="00DB3D3B">
                            <w:pPr>
                              <w:tabs>
                                <w:tab w:val="right" w:pos="3544"/>
                              </w:tabs>
                              <w:rPr>
                                <w:rFonts w:ascii="Arial Narrow" w:hAnsi="Arial Narrow"/>
                                <w:sz w:val="16"/>
                              </w:rPr>
                            </w:pPr>
                            <w:r w:rsidRPr="0022307E">
                              <w:rPr>
                                <w:rFonts w:ascii="Arial Narrow" w:hAnsi="Arial Narrow"/>
                                <w:sz w:val="16"/>
                              </w:rPr>
                              <w:t>* Could be extended to 15 September upon municipality request</w:t>
                            </w:r>
                            <w:r>
                              <w:rPr>
                                <w:rFonts w:ascii="Arial Narrow" w:hAnsi="Arial Narrow"/>
                                <w:sz w:val="16"/>
                              </w:rPr>
                              <w: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2D0F1F" w:rsidRDefault="0079462E" w:rsidP="00442644">
                      <w:pPr>
                        <w:jc w:val="center"/>
                        <w:rPr>
                          <w:rFonts w:asciiTheme="minorHAnsi" w:hAnsiTheme="minorHAnsi"/>
                          <w:b/>
                        </w:rPr>
                      </w:pPr>
                      <w:r>
                        <w:rPr>
                          <w:rFonts w:asciiTheme="minorHAnsi" w:hAnsiTheme="minorHAnsi"/>
                          <w:b/>
                        </w:rPr>
                        <w:t>Bathing waters of Denmark in 2017</w:t>
                      </w:r>
                    </w:p>
                    <w:p w:rsidR="002D0F1F" w:rsidRDefault="002D0F1F" w:rsidP="00ED3BDC">
                      <w:pPr>
                        <w:rPr>
                          <w:rFonts w:asciiTheme="minorHAnsi" w:hAnsiTheme="minorHAnsi"/>
                          <w:sz w:val="20"/>
                        </w:rPr>
                      </w:pPr>
                    </w:p>
                    <w:p w:rsidR="002D0F1F"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1029</w:t>
                      </w:r>
                    </w:p>
                    <w:p w:rsidR="002D0F1F"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915</w:t>
                      </w:r>
                    </w:p>
                    <w:p w:rsidR="002D0F1F"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114</w:t>
                      </w:r>
                    </w:p>
                    <w:p w:rsidR="002D0F1F" w:rsidRDefault="002D0F1F" w:rsidP="00DB3D3B">
                      <w:pPr>
                        <w:tabs>
                          <w:tab w:val="right" w:pos="3544"/>
                        </w:tabs>
                        <w:rPr>
                          <w:rFonts w:asciiTheme="minorHAnsi" w:hAnsiTheme="minorHAnsi"/>
                          <w:sz w:val="20"/>
                        </w:rPr>
                      </w:pPr>
                    </w:p>
                    <w:p w:rsidR="002D0F1F" w:rsidRDefault="005C6B80" w:rsidP="00DB3D3B">
                      <w:pPr>
                        <w:tabs>
                          <w:tab w:val="right" w:pos="3544"/>
                        </w:tabs>
                        <w:rPr>
                          <w:rFonts w:asciiTheme="minorHAnsi" w:hAnsiTheme="minorHAnsi"/>
                          <w:b/>
                          <w:sz w:val="20"/>
                        </w:rPr>
                      </w:pPr>
                      <w:r>
                        <w:rPr>
                          <w:rFonts w:asciiTheme="minorHAnsi" w:hAnsiTheme="minorHAnsi"/>
                          <w:b/>
                          <w:sz w:val="20"/>
                        </w:rPr>
                        <w:t>Ordinary</w:t>
                      </w:r>
                      <w:r w:rsidR="008A3C2A">
                        <w:rPr>
                          <w:rFonts w:asciiTheme="minorHAnsi" w:hAnsiTheme="minorHAnsi"/>
                          <w:b/>
                          <w:sz w:val="20"/>
                        </w:rPr>
                        <w:t xml:space="preserve"> season period</w:t>
                      </w:r>
                      <w:r>
                        <w:rPr>
                          <w:rFonts w:asciiTheme="minorHAnsi" w:hAnsiTheme="minorHAnsi"/>
                          <w:b/>
                          <w:sz w:val="20"/>
                        </w:rPr>
                        <w:t>*</w:t>
                      </w:r>
                      <w:r w:rsidR="008A3C2A">
                        <w:rPr>
                          <w:rFonts w:asciiTheme="minorHAnsi" w:hAnsiTheme="minorHAnsi"/>
                          <w:b/>
                          <w:sz w:val="20"/>
                        </w:rPr>
                        <w:t xml:space="preserve"> </w:t>
                      </w:r>
                      <w:r w:rsidR="008A3C2A">
                        <w:rPr>
                          <w:rFonts w:asciiTheme="minorHAnsi" w:hAnsiTheme="minorHAnsi"/>
                          <w:b/>
                          <w:sz w:val="20"/>
                        </w:rPr>
                        <w:tab/>
                      </w:r>
                      <w:r>
                        <w:rPr>
                          <w:rFonts w:asciiTheme="minorHAnsi" w:hAnsiTheme="minorHAnsi"/>
                          <w:b/>
                          <w:sz w:val="20"/>
                        </w:rPr>
                        <w:t>93</w:t>
                      </w:r>
                      <w:r w:rsidR="008A3C2A">
                        <w:rPr>
                          <w:rFonts w:asciiTheme="minorHAnsi" w:hAnsiTheme="minorHAnsi"/>
                          <w:b/>
                          <w:sz w:val="20"/>
                        </w:rPr>
                        <w:t xml:space="preserve"> days</w:t>
                      </w:r>
                    </w:p>
                    <w:p w:rsidR="002D0F1F"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 xml:space="preserve">1 Jun to </w:t>
                      </w:r>
                      <w:r w:rsidR="005C6B80">
                        <w:rPr>
                          <w:rFonts w:asciiTheme="minorHAnsi" w:hAnsiTheme="minorHAnsi"/>
                          <w:sz w:val="20"/>
                        </w:rPr>
                        <w:t>1</w:t>
                      </w:r>
                      <w:r>
                        <w:rPr>
                          <w:rFonts w:asciiTheme="minorHAnsi" w:hAnsiTheme="minorHAnsi"/>
                          <w:sz w:val="20"/>
                        </w:rPr>
                        <w:t xml:space="preserve"> Sep</w:t>
                      </w:r>
                    </w:p>
                    <w:p w:rsidR="002D0F1F" w:rsidRDefault="005C6B80"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 xml:space="preserve">26 May to 1 </w:t>
                      </w:r>
                      <w:r w:rsidR="0079462E">
                        <w:rPr>
                          <w:rFonts w:asciiTheme="minorHAnsi" w:hAnsiTheme="minorHAnsi"/>
                          <w:sz w:val="20"/>
                        </w:rPr>
                        <w:t>Sep</w:t>
                      </w:r>
                    </w:p>
                    <w:p w:rsidR="002D0F1F" w:rsidRDefault="002D0F1F" w:rsidP="00ED3BDC">
                      <w:pPr>
                        <w:rPr>
                          <w:rFonts w:asciiTheme="minorHAnsi" w:hAnsiTheme="minorHAnsi"/>
                          <w:sz w:val="20"/>
                        </w:rPr>
                      </w:pPr>
                    </w:p>
                    <w:p w:rsidR="002D0F1F"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9100</w:t>
                      </w:r>
                    </w:p>
                    <w:p w:rsidR="002D0F1F" w:rsidRDefault="002D0F1F" w:rsidP="00ED3BDC">
                      <w:pPr>
                        <w:rPr>
                          <w:rFonts w:asciiTheme="minorHAnsi" w:hAnsiTheme="minorHAnsi"/>
                          <w:sz w:val="20"/>
                        </w:rPr>
                      </w:pPr>
                    </w:p>
                    <w:p w:rsidR="002D0F1F"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95 %</w:t>
                      </w:r>
                    </w:p>
                    <w:p w:rsidR="002D0F1F" w:rsidRDefault="0079462E" w:rsidP="00ED3BDC">
                      <w:pPr>
                        <w:rPr>
                          <w:rFonts w:asciiTheme="minorHAnsi" w:hAnsiTheme="minorHAnsi"/>
                          <w:b/>
                          <w:sz w:val="20"/>
                        </w:rPr>
                      </w:pPr>
                      <w:r>
                        <w:rPr>
                          <w:rFonts w:asciiTheme="minorHAnsi" w:hAnsiTheme="minorHAnsi"/>
                          <w:b/>
                          <w:sz w:val="20"/>
                        </w:rPr>
                        <w:t xml:space="preserve">with good or excellent </w:t>
                      </w:r>
                    </w:p>
                    <w:p w:rsidR="002D0F1F" w:rsidRDefault="0079462E" w:rsidP="00ED3BDC">
                      <w:pPr>
                        <w:rPr>
                          <w:rFonts w:asciiTheme="minorHAnsi" w:hAnsiTheme="minorHAnsi"/>
                          <w:b/>
                          <w:sz w:val="20"/>
                        </w:rPr>
                      </w:pPr>
                      <w:r>
                        <w:rPr>
                          <w:rFonts w:asciiTheme="minorHAnsi" w:hAnsiTheme="minorHAnsi"/>
                          <w:b/>
                          <w:sz w:val="20"/>
                        </w:rPr>
                        <w:t>water quality</w:t>
                      </w:r>
                    </w:p>
                    <w:p w:rsidR="002D0F1F" w:rsidRDefault="002D0F1F" w:rsidP="00ED3BDC">
                      <w:pPr>
                        <w:rPr>
                          <w:rFonts w:asciiTheme="minorHAnsi" w:hAnsiTheme="minorHAnsi"/>
                          <w:sz w:val="20"/>
                        </w:rPr>
                      </w:pPr>
                    </w:p>
                    <w:p w:rsidR="002D0F1F"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2D0F1F" w:rsidRDefault="008928A8" w:rsidP="00DB3D3B">
                      <w:pPr>
                        <w:tabs>
                          <w:tab w:val="right" w:pos="3544"/>
                        </w:tabs>
                        <w:rPr>
                          <w:rFonts w:asciiTheme="minorHAnsi" w:hAnsiTheme="minorHAnsi"/>
                          <w:b/>
                          <w:sz w:val="20"/>
                        </w:rPr>
                      </w:pPr>
                      <w:r>
                        <w:rPr>
                          <w:rFonts w:asciiTheme="minorHAnsi" w:hAnsiTheme="minorHAnsi"/>
                          <w:b/>
                          <w:sz w:val="20"/>
                        </w:rPr>
                        <w:t>Directive 2006/7/EC since</w:t>
                      </w:r>
                    </w:p>
                    <w:p w:rsidR="005C6B80" w:rsidRDefault="005C6B80" w:rsidP="00DB3D3B">
                      <w:pPr>
                        <w:tabs>
                          <w:tab w:val="right" w:pos="3544"/>
                        </w:tabs>
                        <w:rPr>
                          <w:rFonts w:asciiTheme="minorHAnsi" w:hAnsiTheme="minorHAnsi"/>
                          <w:b/>
                          <w:sz w:val="20"/>
                        </w:rPr>
                      </w:pPr>
                    </w:p>
                    <w:p w:rsidR="005C6B80" w:rsidRPr="005C6B80" w:rsidRDefault="005C6B80" w:rsidP="00DB3D3B">
                      <w:pPr>
                        <w:tabs>
                          <w:tab w:val="right" w:pos="3544"/>
                        </w:tabs>
                        <w:rPr>
                          <w:rFonts w:ascii="Arial Narrow" w:hAnsi="Arial Narrow"/>
                          <w:sz w:val="16"/>
                        </w:rPr>
                      </w:pPr>
                      <w:r w:rsidRPr="0022307E">
                        <w:rPr>
                          <w:rFonts w:ascii="Arial Narrow" w:hAnsi="Arial Narrow"/>
                          <w:sz w:val="16"/>
                        </w:rPr>
                        <w:t>* Could be extended to 15 September upon municipality request</w:t>
                      </w:r>
                      <w:r>
                        <w:rPr>
                          <w:rFonts w:ascii="Arial Narrow" w:hAnsi="Arial Narrow"/>
                          <w:sz w:val="16"/>
                        </w:rPr>
                        <w:t>.</w:t>
                      </w:r>
                    </w:p>
                  </w:txbxContent>
                </v:textbox>
                <w10:wrap type="square"/>
              </v:shape>
            </w:pict>
          </mc:Fallback>
        </mc:AlternateContent>
      </w:r>
      <w:r>
        <w:t>In the 2017 bathing season, 1029 bathing waters have been reported in Denmark. For each bathing water, five groups of parameters have been delivered</w:t>
      </w:r>
      <w:r>
        <w:rPr>
          <w:rStyle w:val="FootnoteReference"/>
        </w:rPr>
        <w:footnoteReference w:id="3"/>
      </w:r>
      <w:r>
        <w:t>:</w:t>
      </w:r>
    </w:p>
    <w:p w:rsidR="002D0F1F"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2D0F1F"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2D0F1F"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2D0F1F"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2D0F1F"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2D0F1F" w:rsidRDefault="002D0F1F" w:rsidP="00ED3BDC"/>
    <w:p w:rsidR="002D0F1F" w:rsidRDefault="0079462E" w:rsidP="00ED3BDC">
      <w:r>
        <w:t xml:space="preserve">The authorities of </w:t>
      </w:r>
      <w:r>
        <w:rPr>
          <w:rFonts w:ascii="Cambria" w:hAnsi="Cambria"/>
        </w:rPr>
        <w:t>Denmark</w:t>
      </w:r>
      <w:r>
        <w:t xml:space="preserve"> report data according to the new BWD (2006/7/EC) since the season </w:t>
      </w:r>
      <w:r>
        <w:rPr>
          <w:rFonts w:ascii="Cambria" w:hAnsi="Cambria"/>
        </w:rPr>
        <w:t>2008</w:t>
      </w:r>
      <w:r>
        <w:t>.</w:t>
      </w:r>
    </w:p>
    <w:p w:rsidR="002D0F1F" w:rsidRDefault="002D0F1F" w:rsidP="00ED3BDC"/>
    <w:p w:rsidR="002D0F1F" w:rsidRDefault="0079462E" w:rsidP="00ED3BDC">
      <w:r>
        <w:t xml:space="preserve">Altogether, </w:t>
      </w:r>
      <w:r>
        <w:rPr>
          <w:rFonts w:ascii="Cambria" w:hAnsi="Cambria"/>
          <w:b/>
        </w:rPr>
        <w:t>1029</w:t>
      </w:r>
      <w:r>
        <w:rPr>
          <w:rFonts w:ascii="Cambria" w:hAnsi="Cambria"/>
        </w:rPr>
        <w:t xml:space="preserve"> </w:t>
      </w:r>
      <w:r>
        <w:rPr>
          <w:b/>
        </w:rPr>
        <w:t xml:space="preserve">bathing waters </w:t>
      </w:r>
      <w:r>
        <w:t xml:space="preserve">have been reported – 4.7% of all bathing waters in Europe. </w:t>
      </w:r>
      <w:r w:rsidR="005C6B80">
        <w:t xml:space="preserve">Ten </w:t>
      </w:r>
      <w:r>
        <w:t xml:space="preserve">bathing waters have been newly reported in the recent season. 89% of bathing waters in Denmark are of coastal type; the other 11% are inland. </w:t>
      </w:r>
      <w:r>
        <w:rPr>
          <w:b/>
        </w:rPr>
        <w:t>9100 samples</w:t>
      </w:r>
      <w:r>
        <w:t xml:space="preserve"> were taken at bathing waters throughout the season – 9 per bathing water on average.</w:t>
      </w:r>
    </w:p>
    <w:p w:rsidR="002D0F1F" w:rsidRDefault="002D0F1F" w:rsidP="00ED3BDC"/>
    <w:p w:rsidR="002D0F1F" w:rsidRDefault="005C6B80" w:rsidP="00ED3BDC">
      <w:r w:rsidRPr="005C6B80">
        <w:lastRenderedPageBreak/>
        <w:t>The ordinary bathing season period was from 1 June to 1 September, with a</w:t>
      </w:r>
      <w:r>
        <w:t xml:space="preserve"> maximum season span of 93 days</w:t>
      </w:r>
      <w:r>
        <w:rPr>
          <w:rStyle w:val="FootnoteReference"/>
        </w:rPr>
        <w:footnoteReference w:id="4"/>
      </w:r>
      <w:r>
        <w:t>.</w:t>
      </w:r>
      <w:r w:rsidRPr="005C6B80">
        <w:t xml:space="preserve"> Season duration can be extended to 15 September upon municipality request.</w:t>
      </w:r>
    </w:p>
    <w:p w:rsidR="005C6B80" w:rsidRDefault="005C6B80" w:rsidP="00ED3BDC"/>
    <w:p w:rsidR="002D0F1F" w:rsidRDefault="002B438D" w:rsidP="00ED3BDC">
      <w:r>
        <w:t xml:space="preserve">Detailed information on bathing waters is available from national portal at </w:t>
      </w:r>
      <w:hyperlink r:id="rId9" w:history="1">
        <w:r w:rsidR="005C6B80" w:rsidRPr="003F4ABB">
          <w:rPr>
            <w:rStyle w:val="Hyperlink"/>
          </w:rPr>
          <w:t>http://www.badevand.dk/</w:t>
        </w:r>
      </w:hyperlink>
      <w:r>
        <w:t>.</w:t>
      </w:r>
    </w:p>
    <w:p w:rsidR="002D0F1F" w:rsidRDefault="002D0F1F" w:rsidP="00ED3BDC"/>
    <w:p w:rsidR="002D0F1F" w:rsidRDefault="002D0F1F" w:rsidP="00ED3BDC"/>
    <w:p w:rsidR="002D0F1F" w:rsidRDefault="002B438D" w:rsidP="00ED3BDC">
      <w:pPr>
        <w:pStyle w:val="Heading1"/>
      </w:pPr>
      <w:r>
        <w:t>Assessment methodology</w:t>
      </w:r>
      <w:r>
        <w:rPr>
          <w:rStyle w:val="FootnoteReference"/>
        </w:rPr>
        <w:footnoteReference w:id="5"/>
      </w:r>
    </w:p>
    <w:p w:rsidR="002D0F1F" w:rsidRDefault="002D0F1F" w:rsidP="00ED3BDC"/>
    <w:p w:rsidR="002D0F1F"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2D0F1F" w:rsidRDefault="002D0F1F" w:rsidP="00ED3BDC"/>
    <w:p w:rsidR="002D0F1F" w:rsidRDefault="003F038E" w:rsidP="00ED3BDC">
      <w:r>
        <w:t>The monitoring requirements under the Directive are:</w:t>
      </w:r>
    </w:p>
    <w:p w:rsidR="002D0F1F"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6"/>
      </w:r>
      <w:r>
        <w:rPr>
          <w:rFonts w:asciiTheme="majorHAnsi" w:hAnsiTheme="majorHAnsi"/>
          <w:sz w:val="22"/>
          <w:szCs w:val="22"/>
        </w:rPr>
        <w:t>;</w:t>
      </w:r>
    </w:p>
    <w:p w:rsidR="002D0F1F"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7"/>
      </w:r>
      <w:r>
        <w:rPr>
          <w:rFonts w:asciiTheme="majorHAnsi" w:hAnsiTheme="majorHAnsi"/>
          <w:sz w:val="22"/>
          <w:szCs w:val="22"/>
        </w:rPr>
        <w:t>;</w:t>
      </w:r>
    </w:p>
    <w:p w:rsidR="002D0F1F"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8"/>
      </w:r>
      <w:r>
        <w:rPr>
          <w:rFonts w:asciiTheme="majorHAnsi" w:hAnsiTheme="majorHAnsi"/>
          <w:sz w:val="22"/>
          <w:szCs w:val="22"/>
        </w:rPr>
        <w:t>.</w:t>
      </w:r>
    </w:p>
    <w:p w:rsidR="002D0F1F" w:rsidRDefault="002D0F1F" w:rsidP="00ED3BDC"/>
    <w:p w:rsidR="002D0F1F" w:rsidRDefault="003F038E" w:rsidP="003F038E">
      <w:r>
        <w:t xml:space="preserve">If these rules are satisfied, the bathing water is categorised as 'sampling frequency satisfied'. If not all monitoring requirements are fulfilled the bathing water is categorised as 'not enough samples'. 96.3%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2D0F1F" w:rsidRDefault="002D0F1F" w:rsidP="00ED3BDC"/>
    <w:p w:rsidR="002D0F1F" w:rsidRDefault="00484359" w:rsidP="001F33BA">
      <w:pPr>
        <w:pStyle w:val="Caption"/>
        <w:keepNext/>
        <w:spacing w:after="120"/>
      </w:pPr>
      <w:bookmarkStart w:id="1" w:name="_Ref451270757"/>
      <w:r>
        <w:t xml:space="preserve">Table </w:t>
      </w:r>
      <w:r>
        <w:fldChar w:fldCharType="begin"/>
      </w:r>
      <w:r>
        <w:instrText xml:space="preserve"> SEQ Table \* ARABIC </w:instrText>
      </w:r>
      <w:r>
        <w:fldChar w:fldCharType="separate"/>
      </w:r>
      <w:r>
        <w:t>1</w:t>
      </w:r>
      <w:r>
        <w:fldChar w:fldCharType="end"/>
      </w:r>
      <w:bookmarkEnd w:id="1"/>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2D0F1F" w:rsidTr="00484359">
        <w:trPr>
          <w:trHeight w:val="343"/>
        </w:trPr>
        <w:tc>
          <w:tcPr>
            <w:tcW w:w="6379" w:type="dxa"/>
            <w:shd w:val="clear" w:color="auto" w:fill="F2F2F2" w:themeFill="background1" w:themeFillShade="F2"/>
            <w:vAlign w:val="center"/>
          </w:tcPr>
          <w:p w:rsidR="002D0F1F" w:rsidRDefault="002D0F1F" w:rsidP="00484359">
            <w:pPr>
              <w:jc w:val="left"/>
              <w:rPr>
                <w:rFonts w:asciiTheme="minorHAnsi" w:hAnsiTheme="minorHAnsi"/>
                <w:b/>
                <w:sz w:val="20"/>
              </w:rPr>
            </w:pPr>
          </w:p>
        </w:tc>
        <w:tc>
          <w:tcPr>
            <w:tcW w:w="1701" w:type="dxa"/>
            <w:shd w:val="clear" w:color="auto" w:fill="F2F2F2" w:themeFill="background1" w:themeFillShade="F2"/>
            <w:vAlign w:val="center"/>
          </w:tcPr>
          <w:p w:rsidR="002D0F1F"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2D0F1F" w:rsidRDefault="00484359" w:rsidP="00484359">
            <w:pPr>
              <w:jc w:val="left"/>
              <w:rPr>
                <w:rFonts w:asciiTheme="minorHAnsi" w:hAnsiTheme="minorHAnsi"/>
                <w:b/>
                <w:sz w:val="20"/>
              </w:rPr>
            </w:pPr>
            <w:r>
              <w:rPr>
                <w:rFonts w:asciiTheme="minorHAnsi" w:hAnsiTheme="minorHAnsi"/>
                <w:b/>
                <w:sz w:val="20"/>
              </w:rPr>
              <w:t>Share of total [%]</w:t>
            </w:r>
          </w:p>
        </w:tc>
      </w:tr>
      <w:tr w:rsidR="002D0F1F" w:rsidTr="00484359">
        <w:tc>
          <w:tcPr>
            <w:tcW w:w="6379" w:type="dxa"/>
          </w:tcPr>
          <w:p w:rsidR="002D0F1F"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2D0F1F"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2D0F1F" w:rsidRDefault="006D2330" w:rsidP="00B14C10">
            <w:pPr>
              <w:jc w:val="right"/>
              <w:rPr>
                <w:rFonts w:asciiTheme="minorHAnsi" w:hAnsiTheme="minorHAnsi"/>
                <w:sz w:val="20"/>
              </w:rPr>
            </w:pPr>
            <w:r>
              <w:rPr>
                <w:rFonts w:asciiTheme="minorHAnsi" w:hAnsiTheme="minorHAnsi"/>
                <w:sz w:val="20"/>
              </w:rPr>
              <w:t>991</w:t>
            </w:r>
          </w:p>
        </w:tc>
        <w:tc>
          <w:tcPr>
            <w:tcW w:w="1701" w:type="dxa"/>
            <w:vAlign w:val="center"/>
          </w:tcPr>
          <w:p w:rsidR="002D0F1F" w:rsidRDefault="004D61EC" w:rsidP="00B14C10">
            <w:pPr>
              <w:jc w:val="right"/>
              <w:rPr>
                <w:rFonts w:asciiTheme="minorHAnsi" w:hAnsiTheme="minorHAnsi"/>
                <w:b/>
                <w:sz w:val="20"/>
              </w:rPr>
            </w:pPr>
            <w:r>
              <w:rPr>
                <w:rFonts w:asciiTheme="minorHAnsi" w:hAnsiTheme="minorHAnsi"/>
                <w:sz w:val="20"/>
              </w:rPr>
              <w:t>96.3%</w:t>
            </w:r>
          </w:p>
        </w:tc>
      </w:tr>
      <w:tr w:rsidR="002D0F1F" w:rsidTr="00484359">
        <w:tc>
          <w:tcPr>
            <w:tcW w:w="6379" w:type="dxa"/>
          </w:tcPr>
          <w:p w:rsidR="002D0F1F"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2D0F1F" w:rsidRDefault="00025D01" w:rsidP="00B249A7">
            <w:pPr>
              <w:jc w:val="left"/>
              <w:rPr>
                <w:rFonts w:asciiTheme="minorHAnsi" w:hAnsiTheme="minorHAnsi"/>
                <w:sz w:val="20"/>
              </w:rPr>
            </w:pPr>
            <w:r>
              <w:rPr>
                <w:rFonts w:asciiTheme="minorHAnsi" w:hAnsiTheme="minorHAnsi"/>
                <w:color w:val="595959" w:themeColor="text1" w:themeTint="A6"/>
                <w:sz w:val="20"/>
              </w:rPr>
              <w:t xml:space="preserve">These bathing waters exist throughout the last assessment period but have not been monitored throughout the period according to provisions for various individual reasons. They may be quality-classified if there is an </w:t>
            </w:r>
            <w:r>
              <w:rPr>
                <w:rFonts w:asciiTheme="minorHAnsi" w:hAnsiTheme="minorHAnsi"/>
                <w:color w:val="595959" w:themeColor="text1" w:themeTint="A6"/>
                <w:sz w:val="20"/>
              </w:rPr>
              <w:lastRenderedPageBreak/>
              <w:t>adequate volume of samples available for credible classification.</w:t>
            </w:r>
          </w:p>
        </w:tc>
        <w:tc>
          <w:tcPr>
            <w:tcW w:w="1701" w:type="dxa"/>
            <w:vAlign w:val="center"/>
          </w:tcPr>
          <w:p w:rsidR="002D0F1F" w:rsidRDefault="006710BD" w:rsidP="00B14C10">
            <w:pPr>
              <w:jc w:val="right"/>
              <w:rPr>
                <w:rFonts w:asciiTheme="minorHAnsi" w:hAnsiTheme="minorHAnsi"/>
                <w:b/>
                <w:sz w:val="20"/>
              </w:rPr>
            </w:pPr>
            <w:r>
              <w:rPr>
                <w:rFonts w:asciiTheme="minorHAnsi" w:hAnsiTheme="minorHAnsi"/>
                <w:sz w:val="20"/>
              </w:rPr>
              <w:lastRenderedPageBreak/>
              <w:t>27</w:t>
            </w:r>
          </w:p>
        </w:tc>
        <w:tc>
          <w:tcPr>
            <w:tcW w:w="1701" w:type="dxa"/>
            <w:vAlign w:val="center"/>
          </w:tcPr>
          <w:p w:rsidR="002D0F1F" w:rsidRDefault="004D61EC" w:rsidP="00484359">
            <w:pPr>
              <w:jc w:val="right"/>
              <w:rPr>
                <w:rFonts w:asciiTheme="minorHAnsi" w:hAnsiTheme="minorHAnsi"/>
                <w:b/>
                <w:sz w:val="20"/>
              </w:rPr>
            </w:pPr>
            <w:r>
              <w:rPr>
                <w:rFonts w:asciiTheme="minorHAnsi" w:hAnsiTheme="minorHAnsi"/>
                <w:sz w:val="20"/>
              </w:rPr>
              <w:t>2.6%</w:t>
            </w:r>
          </w:p>
        </w:tc>
      </w:tr>
      <w:tr w:rsidR="002D0F1F" w:rsidTr="00484359">
        <w:tc>
          <w:tcPr>
            <w:tcW w:w="6379" w:type="dxa"/>
          </w:tcPr>
          <w:p w:rsidR="002D0F1F"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2D0F1F"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2D0F1F" w:rsidRDefault="006710BD" w:rsidP="00B14C10">
            <w:pPr>
              <w:jc w:val="right"/>
              <w:rPr>
                <w:rFonts w:asciiTheme="minorHAnsi" w:hAnsiTheme="minorHAnsi"/>
                <w:b/>
                <w:sz w:val="20"/>
              </w:rPr>
            </w:pPr>
            <w:r>
              <w:rPr>
                <w:rFonts w:asciiTheme="minorHAnsi" w:hAnsiTheme="minorHAnsi"/>
                <w:sz w:val="20"/>
              </w:rPr>
              <w:t>11</w:t>
            </w:r>
          </w:p>
        </w:tc>
        <w:tc>
          <w:tcPr>
            <w:tcW w:w="1701" w:type="dxa"/>
            <w:vAlign w:val="center"/>
          </w:tcPr>
          <w:p w:rsidR="002D0F1F" w:rsidRDefault="004D61EC" w:rsidP="00B14C10">
            <w:pPr>
              <w:jc w:val="right"/>
              <w:rPr>
                <w:rFonts w:asciiTheme="minorHAnsi" w:hAnsiTheme="minorHAnsi"/>
                <w:b/>
                <w:sz w:val="20"/>
              </w:rPr>
            </w:pPr>
            <w:r>
              <w:rPr>
                <w:rFonts w:asciiTheme="minorHAnsi" w:hAnsiTheme="minorHAnsi"/>
                <w:sz w:val="20"/>
              </w:rPr>
              <w:t>1.1%</w:t>
            </w:r>
          </w:p>
        </w:tc>
      </w:tr>
      <w:tr w:rsidR="002D0F1F" w:rsidTr="00484359">
        <w:trPr>
          <w:trHeight w:val="323"/>
        </w:trPr>
        <w:tc>
          <w:tcPr>
            <w:tcW w:w="6379" w:type="dxa"/>
            <w:shd w:val="clear" w:color="auto" w:fill="F2F2F2" w:themeFill="background1" w:themeFillShade="F2"/>
            <w:vAlign w:val="center"/>
          </w:tcPr>
          <w:p w:rsidR="002D0F1F"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2D0F1F" w:rsidRDefault="00993FEC" w:rsidP="00484359">
            <w:pPr>
              <w:jc w:val="right"/>
              <w:rPr>
                <w:rFonts w:asciiTheme="minorHAnsi" w:hAnsiTheme="minorHAnsi"/>
                <w:b/>
                <w:sz w:val="20"/>
              </w:rPr>
            </w:pPr>
            <w:r>
              <w:rPr>
                <w:rFonts w:asciiTheme="minorHAnsi" w:hAnsiTheme="minorHAnsi"/>
                <w:b/>
                <w:sz w:val="20"/>
              </w:rPr>
              <w:t>1029</w:t>
            </w:r>
          </w:p>
        </w:tc>
        <w:tc>
          <w:tcPr>
            <w:tcW w:w="1701" w:type="dxa"/>
            <w:shd w:val="clear" w:color="auto" w:fill="F2F2F2" w:themeFill="background1" w:themeFillShade="F2"/>
            <w:vAlign w:val="center"/>
          </w:tcPr>
          <w:p w:rsidR="002D0F1F" w:rsidRDefault="004943BD" w:rsidP="004943BD">
            <w:pPr>
              <w:jc w:val="right"/>
              <w:rPr>
                <w:rFonts w:asciiTheme="minorHAnsi" w:hAnsiTheme="minorHAnsi"/>
                <w:b/>
                <w:sz w:val="20"/>
              </w:rPr>
            </w:pPr>
            <w:r>
              <w:rPr>
                <w:rFonts w:asciiTheme="minorHAnsi" w:hAnsiTheme="minorHAnsi"/>
                <w:b/>
                <w:sz w:val="20"/>
              </w:rPr>
              <w:t>100%</w:t>
            </w:r>
          </w:p>
        </w:tc>
      </w:tr>
    </w:tbl>
    <w:p w:rsidR="002D0F1F" w:rsidRDefault="002D0F1F" w:rsidP="00ED3BDC"/>
    <w:p w:rsidR="002D0F1F"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2D0F1F" w:rsidRDefault="002D0F1F" w:rsidP="00ED3BDC"/>
    <w:p w:rsidR="002D0F1F"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2D0F1F" w:rsidRDefault="002D0F1F" w:rsidP="00ED3BDC"/>
    <w:p w:rsidR="002D0F1F" w:rsidRDefault="002F24A6" w:rsidP="002F24A6">
      <w:r>
        <w:t>Quality assessment is not possible for all bathing waters. In these cases, they are instead classified as either:</w:t>
      </w:r>
    </w:p>
    <w:p w:rsidR="002D0F1F" w:rsidRDefault="002F24A6" w:rsidP="002F24A6">
      <w:pPr>
        <w:ind w:firstLine="284"/>
      </w:pPr>
      <w:r>
        <w:t>• not enough samples</w:t>
      </w:r>
      <w:r>
        <w:rPr>
          <w:rStyle w:val="FootnoteReference"/>
        </w:rPr>
        <w:footnoteReference w:id="9"/>
      </w:r>
      <w:r>
        <w:t>;</w:t>
      </w:r>
    </w:p>
    <w:p w:rsidR="002D0F1F" w:rsidRDefault="002F24A6" w:rsidP="002F24A6">
      <w:pPr>
        <w:ind w:firstLine="284"/>
      </w:pPr>
      <w:r>
        <w:t>• new</w:t>
      </w:r>
      <w:r>
        <w:rPr>
          <w:rStyle w:val="FootnoteReference"/>
        </w:rPr>
        <w:footnoteReference w:id="10"/>
      </w:r>
      <w:r>
        <w:t>;</w:t>
      </w:r>
    </w:p>
    <w:p w:rsidR="002D0F1F" w:rsidRDefault="00783E42" w:rsidP="00783E42">
      <w:pPr>
        <w:ind w:firstLine="284"/>
      </w:pPr>
      <w:r>
        <w:t>• changes</w:t>
      </w:r>
      <w:r>
        <w:rPr>
          <w:rStyle w:val="FootnoteReference"/>
        </w:rPr>
        <w:footnoteReference w:id="11"/>
      </w:r>
      <w:r>
        <w:t>;</w:t>
      </w:r>
    </w:p>
    <w:p w:rsidR="002D0F1F" w:rsidRDefault="00783E42" w:rsidP="00783E42">
      <w:pPr>
        <w:ind w:firstLine="284"/>
      </w:pPr>
      <w:r>
        <w:t>• closed</w:t>
      </w:r>
      <w:r>
        <w:rPr>
          <w:rStyle w:val="FootnoteReference"/>
        </w:rPr>
        <w:footnoteReference w:id="12"/>
      </w:r>
      <w:r>
        <w:t>.</w:t>
      </w:r>
    </w:p>
    <w:p w:rsidR="002D0F1F" w:rsidRDefault="002D0F1F" w:rsidP="00AF3F74"/>
    <w:p w:rsidR="002D0F1F" w:rsidRDefault="002D0F1F" w:rsidP="00ED3BDC"/>
    <w:p w:rsidR="002D0F1F" w:rsidRDefault="002B438D" w:rsidP="00ED3BDC">
      <w:pPr>
        <w:pStyle w:val="Heading1"/>
      </w:pPr>
      <w:r>
        <w:t>Bathing water quality</w:t>
      </w:r>
    </w:p>
    <w:p w:rsidR="002D0F1F" w:rsidRDefault="002D0F1F" w:rsidP="00ED3BDC"/>
    <w:p w:rsidR="002D0F1F" w:rsidRDefault="002B438D" w:rsidP="00ED3BDC">
      <w:r>
        <w:t>The results of the bathing water quality in Denmark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3"/>
      </w:r>
      <w:r>
        <w:t xml:space="preserve"> and the European Environment Agency's bathing water website</w:t>
      </w:r>
      <w:r>
        <w:rPr>
          <w:rStyle w:val="FootnoteReference"/>
        </w:rPr>
        <w:footnoteReference w:id="14"/>
      </w:r>
      <w:r>
        <w:t>.</w:t>
      </w:r>
    </w:p>
    <w:p w:rsidR="002D0F1F" w:rsidRDefault="002D0F1F" w:rsidP="00ED3BDC"/>
    <w:p w:rsidR="005C6B80" w:rsidRDefault="005C6B80" w:rsidP="00ED3BDC"/>
    <w:p w:rsidR="005C6B80" w:rsidRDefault="005C6B80" w:rsidP="00ED3BDC"/>
    <w:p w:rsidR="005C6B80" w:rsidRDefault="005C6B80" w:rsidP="00ED3BDC"/>
    <w:p w:rsidR="005C6B80" w:rsidRDefault="005C6B80" w:rsidP="00ED3BDC"/>
    <w:p w:rsidR="005C6B80" w:rsidRDefault="005C6B80" w:rsidP="00ED3BDC"/>
    <w:p w:rsidR="002D0F1F" w:rsidRDefault="002B438D" w:rsidP="00ED3BDC">
      <w:pPr>
        <w:pStyle w:val="Heading2"/>
      </w:pPr>
      <w:r>
        <w:lastRenderedPageBreak/>
        <w:t>Coastal bathing waters</w:t>
      </w:r>
    </w:p>
    <w:p w:rsidR="002D0F1F" w:rsidRDefault="002D0F1F" w:rsidP="00ED3BDC"/>
    <w:p w:rsidR="002D0F1F" w:rsidRDefault="002B438D" w:rsidP="00ED3BDC">
      <w:r>
        <w:t>In Denmark, 97.7% of all existing coastal bathing waters met at least sufficient water quality standards in 2017. S</w:t>
      </w:r>
      <w:r w:rsidR="005C6B80">
        <w:t>ee Appendix 1 for numeric data.</w:t>
      </w:r>
    </w:p>
    <w:p w:rsidR="002D0F1F" w:rsidRDefault="002D0F1F" w:rsidP="00ED3BDC"/>
    <w:p w:rsidR="002D0F1F"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0F1F"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Denmark. </w:t>
      </w:r>
      <w:r>
        <w:rPr>
          <w:b w:val="0"/>
        </w:rPr>
        <w:t xml:space="preserve">Note: the “At least sufficient” class also includes bathing waters of “Excellent” quality </w:t>
      </w:r>
      <w:proofErr w:type="gramStart"/>
      <w:r>
        <w:rPr>
          <w:b w:val="0"/>
        </w:rPr>
        <w:t>class,</w:t>
      </w:r>
      <w:proofErr w:type="gramEnd"/>
      <w:r>
        <w:rPr>
          <w:b w:val="0"/>
        </w:rPr>
        <w:t xml:space="preserve"> the sum of shares is therefore not 100%.</w:t>
      </w:r>
    </w:p>
    <w:p w:rsidR="002D0F1F" w:rsidRDefault="002D0F1F" w:rsidP="00ED3BDC"/>
    <w:p w:rsidR="002D0F1F" w:rsidRDefault="002D0F1F" w:rsidP="00ED3BDC"/>
    <w:p w:rsidR="002D0F1F" w:rsidRDefault="002B438D" w:rsidP="00ED3BDC">
      <w:pPr>
        <w:pStyle w:val="Heading2"/>
      </w:pPr>
      <w:r>
        <w:t>Inland bathing waters</w:t>
      </w:r>
    </w:p>
    <w:p w:rsidR="002D0F1F" w:rsidRDefault="002D0F1F" w:rsidP="00ED3BDC"/>
    <w:p w:rsidR="002D0F1F" w:rsidRDefault="007C239B" w:rsidP="002318DD">
      <w:r>
        <w:t>99.1% of all existing inland bathing waters were of at least sufficient water quality in 2017. See Appendix 1 for numeric data.</w:t>
      </w:r>
      <w:bookmarkStart w:id="2" w:name="OLE_LINK19"/>
      <w:bookmarkStart w:id="3" w:name="OLE_LINK20"/>
    </w:p>
    <w:p w:rsidR="002D0F1F" w:rsidRDefault="002D0F1F" w:rsidP="002318DD"/>
    <w:p w:rsidR="002D0F1F"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2"/>
    <w:bookmarkEnd w:id="3"/>
    <w:p w:rsidR="002D0F1F"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Denmark. </w:t>
      </w:r>
      <w:r>
        <w:rPr>
          <w:b w:val="0"/>
        </w:rPr>
        <w:t>Note: the “At least sufficient” class also includes bathing waters of “Excellent” quality class, the sum of shares is therefore not 100%.</w:t>
      </w:r>
      <w:r>
        <w:t xml:space="preserve"> </w:t>
      </w:r>
    </w:p>
    <w:p w:rsidR="002D0F1F" w:rsidRDefault="002D0F1F" w:rsidP="00ED3BDC">
      <w:pPr>
        <w:pStyle w:val="Caption"/>
      </w:pPr>
    </w:p>
    <w:p w:rsidR="002D0F1F" w:rsidRDefault="002D0F1F" w:rsidP="00ED3BDC"/>
    <w:p w:rsidR="002D0F1F" w:rsidRDefault="002D0F1F" w:rsidP="00ED3BDC"/>
    <w:p w:rsidR="002D0F1F" w:rsidRDefault="002B438D" w:rsidP="00ED3BDC">
      <w:pPr>
        <w:pStyle w:val="Heading1"/>
      </w:pPr>
      <w:bookmarkStart w:id="4" w:name="OLE_LINK4"/>
      <w:bookmarkStart w:id="5" w:name="OLE_LINK5"/>
      <w:bookmarkStart w:id="6" w:name="OLE_LINK9"/>
      <w:r>
        <w:t>Information regarding management and other issues</w:t>
      </w:r>
      <w:bookmarkEnd w:id="4"/>
      <w:bookmarkEnd w:id="5"/>
    </w:p>
    <w:bookmarkEnd w:id="6"/>
    <w:p w:rsidR="002D0F1F" w:rsidRDefault="002D0F1F" w:rsidP="00ED3BDC"/>
    <w:p w:rsidR="005C6B80" w:rsidRDefault="005C6B80" w:rsidP="005C6B80">
      <w:r>
        <w:t>The municipalities are responsible for inspecting bathing water in Denmark and they publish the current bathing water quality on their websites. For the 2017 bathing season, 69 short-term pollutions have been reported at 34 bathing sites by national authorities.</w:t>
      </w:r>
    </w:p>
    <w:p w:rsidR="005C6B80" w:rsidRDefault="005C6B80" w:rsidP="005C6B80"/>
    <w:p w:rsidR="002D0F1F" w:rsidRDefault="005C6B80" w:rsidP="005C6B80">
      <w:r>
        <w:t>In 2017, ten bathing sites have been established and five bathing sites have been closed (three due to no bathers and two due to poor quality for more than five years). Five bathing sites have changed name and/or coordinates in 2017.</w:t>
      </w:r>
    </w:p>
    <w:p w:rsidR="002D0F1F" w:rsidRDefault="002D0F1F" w:rsidP="00ED3BDC"/>
    <w:p w:rsidR="005C6B80" w:rsidRDefault="005C6B80" w:rsidP="00ED3BDC"/>
    <w:p w:rsidR="002D0F1F" w:rsidRDefault="0024729D" w:rsidP="00ED3BDC">
      <w:pPr>
        <w:pStyle w:val="Heading1"/>
      </w:pPr>
      <w:r>
        <w:t>Bathing water quality assessment presentation in online viewers</w:t>
      </w:r>
    </w:p>
    <w:p w:rsidR="002D0F1F" w:rsidRDefault="002D0F1F" w:rsidP="00ED3BDC"/>
    <w:p w:rsidR="002D0F1F"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2" w:history="1">
        <w:r>
          <w:rPr>
            <w:rStyle w:val="Hyperlink"/>
          </w:rPr>
          <w:t>http://ec.europa.eu/environment/water/index_en.htm</w:t>
        </w:r>
      </w:hyperlink>
      <w:r>
        <w:t>.</w:t>
      </w:r>
    </w:p>
    <w:p w:rsidR="002D0F1F" w:rsidRDefault="002D0F1F" w:rsidP="00EC573D"/>
    <w:p w:rsidR="002D0F1F" w:rsidRDefault="003E2BA0" w:rsidP="003E2BA0">
      <w:r>
        <w:t>The bathing water section of the Water Information System for Europe (WISE) which is accessible at the EEA bathing water website (</w:t>
      </w:r>
      <w:hyperlink r:id="rId13"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2D0F1F" w:rsidRDefault="002B438D" w:rsidP="003E2BA0">
      <w:r>
        <w:br w:type="page"/>
      </w:r>
    </w:p>
    <w:p w:rsidR="002D0F1F" w:rsidRDefault="002B438D" w:rsidP="00ED3BDC">
      <w:pPr>
        <w:rPr>
          <w:b/>
          <w:sz w:val="28"/>
        </w:rPr>
      </w:pPr>
      <w:r>
        <w:rPr>
          <w:b/>
          <w:sz w:val="28"/>
        </w:rPr>
        <w:lastRenderedPageBreak/>
        <w:t>Appendix 1: Results of bathing water quality in Denmark from 2014 to 2017</w:t>
      </w:r>
    </w:p>
    <w:p w:rsidR="002D0F1F" w:rsidRDefault="002D0F1F" w:rsidP="00ED3BDC"/>
    <w:p w:rsidR="002D0F1F"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2D0F1F" w:rsidTr="005F5E3F">
        <w:tc>
          <w:tcPr>
            <w:tcW w:w="1276" w:type="dxa"/>
            <w:gridSpan w:val="2"/>
            <w:vMerge w:val="restart"/>
            <w:shd w:val="clear" w:color="auto" w:fill="F2F2F2" w:themeFill="background1" w:themeFillShade="F2"/>
          </w:tcPr>
          <w:p w:rsidR="002D0F1F" w:rsidRDefault="002D0F1F"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2D0F1F" w:rsidRDefault="005F5E3F" w:rsidP="00B853E1">
            <w:pPr>
              <w:jc w:val="center"/>
              <w:rPr>
                <w:rFonts w:asciiTheme="minorHAnsi" w:hAnsiTheme="minorHAnsi"/>
                <w:b/>
                <w:sz w:val="20"/>
                <w:szCs w:val="20"/>
              </w:rPr>
            </w:pPr>
            <w:r>
              <w:rPr>
                <w:rFonts w:asciiTheme="minorHAnsi" w:hAnsiTheme="minorHAnsi"/>
                <w:b/>
                <w:sz w:val="20"/>
                <w:szCs w:val="20"/>
              </w:rPr>
              <w:t>Total</w:t>
            </w:r>
          </w:p>
          <w:p w:rsidR="002D0F1F" w:rsidRDefault="005F5E3F" w:rsidP="00B853E1">
            <w:pPr>
              <w:jc w:val="center"/>
              <w:rPr>
                <w:rFonts w:asciiTheme="minorHAnsi" w:hAnsiTheme="minorHAnsi"/>
                <w:b/>
                <w:sz w:val="20"/>
                <w:szCs w:val="20"/>
              </w:rPr>
            </w:pPr>
            <w:r>
              <w:rPr>
                <w:rFonts w:asciiTheme="minorHAnsi" w:hAnsiTheme="minorHAnsi"/>
                <w:b/>
                <w:sz w:val="20"/>
                <w:szCs w:val="20"/>
              </w:rPr>
              <w:t>number</w:t>
            </w:r>
          </w:p>
          <w:p w:rsidR="002D0F1F" w:rsidRDefault="005F5E3F" w:rsidP="00B853E1">
            <w:pPr>
              <w:jc w:val="center"/>
              <w:rPr>
                <w:rFonts w:asciiTheme="minorHAnsi" w:hAnsiTheme="minorHAnsi"/>
                <w:b/>
                <w:sz w:val="20"/>
                <w:szCs w:val="20"/>
              </w:rPr>
            </w:pPr>
            <w:r>
              <w:rPr>
                <w:rFonts w:asciiTheme="minorHAnsi" w:hAnsiTheme="minorHAnsi"/>
                <w:b/>
                <w:sz w:val="20"/>
                <w:szCs w:val="20"/>
              </w:rPr>
              <w:t>of</w:t>
            </w:r>
          </w:p>
          <w:p w:rsidR="002D0F1F" w:rsidRDefault="005F5E3F" w:rsidP="00B853E1">
            <w:pPr>
              <w:jc w:val="center"/>
              <w:rPr>
                <w:rFonts w:asciiTheme="minorHAnsi" w:hAnsiTheme="minorHAnsi"/>
                <w:b/>
                <w:sz w:val="20"/>
                <w:szCs w:val="20"/>
              </w:rPr>
            </w:pPr>
            <w:r>
              <w:rPr>
                <w:rFonts w:asciiTheme="minorHAnsi" w:hAnsiTheme="minorHAnsi"/>
                <w:b/>
                <w:sz w:val="20"/>
                <w:szCs w:val="20"/>
              </w:rPr>
              <w:t>bathing</w:t>
            </w:r>
          </w:p>
          <w:p w:rsidR="002D0F1F"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2D0F1F"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2D0F1F" w:rsidRDefault="005F5E3F" w:rsidP="00B853E1">
            <w:pPr>
              <w:jc w:val="center"/>
              <w:rPr>
                <w:rFonts w:asciiTheme="minorHAnsi" w:hAnsiTheme="minorHAnsi"/>
                <w:b/>
                <w:sz w:val="20"/>
                <w:szCs w:val="20"/>
              </w:rPr>
            </w:pPr>
            <w:r>
              <w:rPr>
                <w:rFonts w:asciiTheme="minorHAnsi" w:hAnsiTheme="minorHAnsi"/>
                <w:b/>
                <w:sz w:val="20"/>
                <w:szCs w:val="20"/>
              </w:rPr>
              <w:t>At least</w:t>
            </w:r>
          </w:p>
          <w:p w:rsidR="002D0F1F" w:rsidRDefault="005F5E3F" w:rsidP="00B853E1">
            <w:pPr>
              <w:jc w:val="center"/>
              <w:rPr>
                <w:rFonts w:asciiTheme="minorHAnsi" w:hAnsiTheme="minorHAnsi"/>
                <w:b/>
                <w:sz w:val="20"/>
                <w:szCs w:val="20"/>
              </w:rPr>
            </w:pPr>
            <w:r>
              <w:rPr>
                <w:rFonts w:asciiTheme="minorHAnsi" w:hAnsiTheme="minorHAnsi"/>
                <w:b/>
                <w:sz w:val="20"/>
                <w:szCs w:val="20"/>
              </w:rPr>
              <w:t>sufficient</w:t>
            </w:r>
          </w:p>
          <w:p w:rsidR="002D0F1F"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2D0F1F"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2D0F1F" w:rsidRDefault="005F5E3F" w:rsidP="00B853E1">
            <w:pPr>
              <w:jc w:val="center"/>
              <w:rPr>
                <w:rFonts w:asciiTheme="minorHAnsi" w:hAnsiTheme="minorHAnsi"/>
                <w:b/>
                <w:sz w:val="20"/>
                <w:szCs w:val="20"/>
              </w:rPr>
            </w:pPr>
            <w:r>
              <w:rPr>
                <w:rFonts w:asciiTheme="minorHAnsi" w:hAnsiTheme="minorHAnsi"/>
                <w:b/>
                <w:sz w:val="20"/>
                <w:szCs w:val="20"/>
              </w:rPr>
              <w:t>Quality</w:t>
            </w:r>
          </w:p>
          <w:p w:rsidR="002D0F1F"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2D0F1F"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2D0F1F"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2D0F1F" w:rsidRDefault="005F5E3F" w:rsidP="00B853E1">
            <w:pPr>
              <w:jc w:val="center"/>
              <w:rPr>
                <w:rFonts w:asciiTheme="minorHAnsi" w:hAnsiTheme="minorHAnsi"/>
                <w:b/>
                <w:sz w:val="20"/>
                <w:szCs w:val="20"/>
              </w:rPr>
            </w:pPr>
            <w:r>
              <w:rPr>
                <w:rFonts w:asciiTheme="minorHAnsi" w:hAnsiTheme="minorHAnsi"/>
                <w:b/>
                <w:sz w:val="20"/>
                <w:szCs w:val="20"/>
              </w:rPr>
              <w:t>/new bathing</w:t>
            </w:r>
          </w:p>
          <w:p w:rsidR="002D0F1F" w:rsidRDefault="005F5E3F" w:rsidP="00B853E1">
            <w:pPr>
              <w:jc w:val="center"/>
              <w:rPr>
                <w:rFonts w:asciiTheme="minorHAnsi" w:hAnsiTheme="minorHAnsi"/>
                <w:b/>
                <w:sz w:val="20"/>
                <w:szCs w:val="20"/>
              </w:rPr>
            </w:pPr>
            <w:r>
              <w:rPr>
                <w:rFonts w:asciiTheme="minorHAnsi" w:hAnsiTheme="minorHAnsi"/>
                <w:b/>
                <w:sz w:val="20"/>
                <w:szCs w:val="20"/>
              </w:rPr>
              <w:t>waters/bathing</w:t>
            </w:r>
          </w:p>
          <w:p w:rsidR="002D0F1F"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2D0F1F" w:rsidTr="005F5E3F">
        <w:tc>
          <w:tcPr>
            <w:tcW w:w="1276" w:type="dxa"/>
            <w:gridSpan w:val="2"/>
            <w:vMerge/>
            <w:tcBorders>
              <w:bottom w:val="single" w:sz="4" w:space="0" w:color="808080" w:themeColor="background1" w:themeShade="80"/>
            </w:tcBorders>
            <w:shd w:val="clear" w:color="auto" w:fill="F2F2F2" w:themeFill="background1" w:themeFillShade="F2"/>
          </w:tcPr>
          <w:p w:rsidR="002D0F1F" w:rsidRDefault="002D0F1F"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2D0F1F" w:rsidRDefault="002D0F1F"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2D0F1F"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2D0F1F"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2D0F1F"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2D0F1F"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2D0F1F"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2D0F1F"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2D0F1F"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2D0F1F" w:rsidRDefault="005F5E3F" w:rsidP="00430B97">
            <w:pPr>
              <w:jc w:val="center"/>
              <w:rPr>
                <w:rFonts w:asciiTheme="minorHAnsi" w:hAnsiTheme="minorHAnsi"/>
                <w:b/>
                <w:sz w:val="20"/>
                <w:szCs w:val="20"/>
              </w:rPr>
            </w:pPr>
            <w:r>
              <w:rPr>
                <w:rFonts w:asciiTheme="minorHAnsi" w:hAnsiTheme="minorHAnsi"/>
                <w:b/>
                <w:sz w:val="20"/>
                <w:szCs w:val="20"/>
              </w:rPr>
              <w:t>%</w:t>
            </w:r>
          </w:p>
        </w:tc>
      </w:tr>
      <w:tr w:rsidR="002D0F1F"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2D0F1F" w:rsidRDefault="005F5E3F" w:rsidP="005C6B80">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917</w:t>
            </w:r>
          </w:p>
        </w:tc>
        <w:tc>
          <w:tcPr>
            <w:tcW w:w="939"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709</w:t>
            </w:r>
          </w:p>
        </w:tc>
        <w:tc>
          <w:tcPr>
            <w:tcW w:w="904"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77.3</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894</w:t>
            </w:r>
          </w:p>
        </w:tc>
        <w:tc>
          <w:tcPr>
            <w:tcW w:w="99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97.5</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15</w:t>
            </w: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1.6</w:t>
            </w:r>
          </w:p>
        </w:tc>
        <w:tc>
          <w:tcPr>
            <w:tcW w:w="90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8</w:t>
            </w:r>
          </w:p>
        </w:tc>
        <w:tc>
          <w:tcPr>
            <w:tcW w:w="94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0.9</w:t>
            </w:r>
          </w:p>
        </w:tc>
      </w:tr>
      <w:tr w:rsidR="002D0F1F"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2D0F1F" w:rsidRDefault="005F5E3F" w:rsidP="005C19AE">
            <w:pPr>
              <w:jc w:val="center"/>
              <w:rPr>
                <w:rFonts w:asciiTheme="minorHAnsi" w:hAnsiTheme="minorHAnsi"/>
                <w:sz w:val="20"/>
                <w:szCs w:val="20"/>
              </w:rPr>
            </w:pPr>
            <w:r>
              <w:rPr>
                <w:rFonts w:asciiTheme="minorHAnsi" w:hAnsiTheme="minorHAnsi"/>
                <w:sz w:val="20"/>
                <w:szCs w:val="20"/>
              </w:rPr>
              <w:t>Coastal</w:t>
            </w:r>
          </w:p>
          <w:p w:rsidR="002D0F1F" w:rsidRDefault="002D0F1F"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918</w:t>
            </w:r>
          </w:p>
        </w:tc>
        <w:tc>
          <w:tcPr>
            <w:tcW w:w="939"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776</w:t>
            </w:r>
          </w:p>
        </w:tc>
        <w:tc>
          <w:tcPr>
            <w:tcW w:w="904"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84.5</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903</w:t>
            </w:r>
          </w:p>
        </w:tc>
        <w:tc>
          <w:tcPr>
            <w:tcW w:w="99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98.4</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6</w:t>
            </w: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0.7</w:t>
            </w:r>
          </w:p>
        </w:tc>
        <w:tc>
          <w:tcPr>
            <w:tcW w:w="90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w:t>
            </w:r>
          </w:p>
        </w:tc>
        <w:tc>
          <w:tcPr>
            <w:tcW w:w="94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1.0</w:t>
            </w:r>
          </w:p>
        </w:tc>
      </w:tr>
      <w:tr w:rsidR="002D0F1F"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2D0F1F" w:rsidRDefault="005F5E3F" w:rsidP="005C19AE">
            <w:pPr>
              <w:jc w:val="center"/>
              <w:rPr>
                <w:rFonts w:asciiTheme="minorHAnsi" w:hAnsiTheme="minorHAnsi"/>
                <w:sz w:val="20"/>
                <w:szCs w:val="20"/>
              </w:rPr>
            </w:pPr>
            <w:r>
              <w:rPr>
                <w:rFonts w:asciiTheme="minorHAnsi" w:hAnsiTheme="minorHAnsi"/>
                <w:sz w:val="20"/>
                <w:szCs w:val="20"/>
              </w:rPr>
              <w:t>Coastal</w:t>
            </w:r>
          </w:p>
          <w:p w:rsidR="002D0F1F" w:rsidRDefault="002D0F1F"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921</w:t>
            </w:r>
          </w:p>
        </w:tc>
        <w:tc>
          <w:tcPr>
            <w:tcW w:w="939"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785</w:t>
            </w:r>
          </w:p>
        </w:tc>
        <w:tc>
          <w:tcPr>
            <w:tcW w:w="904"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85.2</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893</w:t>
            </w:r>
          </w:p>
        </w:tc>
        <w:tc>
          <w:tcPr>
            <w:tcW w:w="99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97.0</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8</w:t>
            </w: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0.9</w:t>
            </w:r>
          </w:p>
        </w:tc>
        <w:tc>
          <w:tcPr>
            <w:tcW w:w="90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20</w:t>
            </w:r>
          </w:p>
        </w:tc>
        <w:tc>
          <w:tcPr>
            <w:tcW w:w="94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2.2</w:t>
            </w:r>
          </w:p>
        </w:tc>
      </w:tr>
      <w:tr w:rsidR="002D0F1F"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2D0F1F" w:rsidRDefault="005F5E3F" w:rsidP="005C19AE">
            <w:pPr>
              <w:jc w:val="center"/>
              <w:rPr>
                <w:rFonts w:asciiTheme="minorHAnsi" w:hAnsiTheme="minorHAnsi"/>
                <w:sz w:val="20"/>
                <w:szCs w:val="20"/>
              </w:rPr>
            </w:pPr>
            <w:r>
              <w:rPr>
                <w:rFonts w:asciiTheme="minorHAnsi" w:hAnsiTheme="minorHAnsi"/>
                <w:sz w:val="20"/>
                <w:szCs w:val="20"/>
              </w:rPr>
              <w:t>Coastal</w:t>
            </w:r>
          </w:p>
          <w:p w:rsidR="002D0F1F" w:rsidRDefault="002D0F1F"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915</w:t>
            </w:r>
          </w:p>
        </w:tc>
        <w:tc>
          <w:tcPr>
            <w:tcW w:w="939"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786</w:t>
            </w:r>
          </w:p>
        </w:tc>
        <w:tc>
          <w:tcPr>
            <w:tcW w:w="904"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85.9</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894</w:t>
            </w:r>
          </w:p>
        </w:tc>
        <w:tc>
          <w:tcPr>
            <w:tcW w:w="99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97.7</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12</w:t>
            </w: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1.3</w:t>
            </w:r>
          </w:p>
        </w:tc>
        <w:tc>
          <w:tcPr>
            <w:tcW w:w="90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w:t>
            </w:r>
          </w:p>
        </w:tc>
        <w:tc>
          <w:tcPr>
            <w:tcW w:w="94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1.0</w:t>
            </w:r>
          </w:p>
        </w:tc>
      </w:tr>
      <w:tr w:rsidR="002D0F1F"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2D0F1F" w:rsidRDefault="005F5E3F" w:rsidP="005C6B80">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111</w:t>
            </w:r>
          </w:p>
        </w:tc>
        <w:tc>
          <w:tcPr>
            <w:tcW w:w="939"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105</w:t>
            </w:r>
          </w:p>
        </w:tc>
        <w:tc>
          <w:tcPr>
            <w:tcW w:w="904"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94.6</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109</w:t>
            </w:r>
          </w:p>
        </w:tc>
        <w:tc>
          <w:tcPr>
            <w:tcW w:w="99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98.2</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0.9</w:t>
            </w:r>
          </w:p>
        </w:tc>
        <w:tc>
          <w:tcPr>
            <w:tcW w:w="90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0.9</w:t>
            </w:r>
          </w:p>
        </w:tc>
      </w:tr>
      <w:tr w:rsidR="002D0F1F"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2D0F1F"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2D0F1F" w:rsidRDefault="002D0F1F"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110</w:t>
            </w:r>
          </w:p>
        </w:tc>
        <w:tc>
          <w:tcPr>
            <w:tcW w:w="939"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105</w:t>
            </w:r>
          </w:p>
        </w:tc>
        <w:tc>
          <w:tcPr>
            <w:tcW w:w="904"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95.5</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108</w:t>
            </w:r>
          </w:p>
        </w:tc>
        <w:tc>
          <w:tcPr>
            <w:tcW w:w="99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98.2</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2</w:t>
            </w:r>
          </w:p>
        </w:tc>
        <w:tc>
          <w:tcPr>
            <w:tcW w:w="94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1.8</w:t>
            </w:r>
          </w:p>
        </w:tc>
      </w:tr>
      <w:tr w:rsidR="002D0F1F"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2D0F1F"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2D0F1F" w:rsidRDefault="002D0F1F"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115</w:t>
            </w:r>
          </w:p>
        </w:tc>
        <w:tc>
          <w:tcPr>
            <w:tcW w:w="939"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105</w:t>
            </w:r>
          </w:p>
        </w:tc>
        <w:tc>
          <w:tcPr>
            <w:tcW w:w="904"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91.3</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110</w:t>
            </w:r>
          </w:p>
        </w:tc>
        <w:tc>
          <w:tcPr>
            <w:tcW w:w="99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95.7</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5</w:t>
            </w:r>
          </w:p>
        </w:tc>
        <w:tc>
          <w:tcPr>
            <w:tcW w:w="94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4.3</w:t>
            </w:r>
          </w:p>
        </w:tc>
      </w:tr>
      <w:tr w:rsidR="002D0F1F"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2D0F1F"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2D0F1F" w:rsidRDefault="002D0F1F"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114</w:t>
            </w:r>
          </w:p>
        </w:tc>
        <w:tc>
          <w:tcPr>
            <w:tcW w:w="939"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106</w:t>
            </w:r>
          </w:p>
        </w:tc>
        <w:tc>
          <w:tcPr>
            <w:tcW w:w="904"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93.0</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113</w:t>
            </w:r>
          </w:p>
        </w:tc>
        <w:tc>
          <w:tcPr>
            <w:tcW w:w="99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99.1</w:t>
            </w:r>
          </w:p>
        </w:tc>
        <w:tc>
          <w:tcPr>
            <w:tcW w:w="992"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2D0F1F" w:rsidRDefault="005F5E3F" w:rsidP="002E7263">
            <w:pPr>
              <w:jc w:val="right"/>
              <w:rPr>
                <w:rFonts w:asciiTheme="minorHAnsi" w:hAnsiTheme="minorHAnsi"/>
                <w:sz w:val="20"/>
                <w:szCs w:val="20"/>
              </w:rPr>
            </w:pPr>
            <w:r>
              <w:rPr>
                <w:rFonts w:asciiTheme="minorHAnsi" w:hAnsiTheme="minorHAnsi"/>
                <w:sz w:val="20"/>
                <w:szCs w:val="20"/>
              </w:rPr>
              <w:t>0.9</w:t>
            </w:r>
          </w:p>
        </w:tc>
      </w:tr>
      <w:tr w:rsidR="002D0F1F" w:rsidTr="005F5E3F">
        <w:trPr>
          <w:cantSplit/>
          <w:trHeight w:val="425"/>
        </w:trPr>
        <w:tc>
          <w:tcPr>
            <w:tcW w:w="426" w:type="dxa"/>
            <w:vMerge w:val="restart"/>
            <w:tcBorders>
              <w:top w:val="single" w:sz="4" w:space="0" w:color="808080" w:themeColor="background1" w:themeShade="80"/>
            </w:tcBorders>
            <w:textDirection w:val="btLr"/>
            <w:vAlign w:val="center"/>
          </w:tcPr>
          <w:p w:rsidR="002D0F1F" w:rsidRDefault="005F5E3F" w:rsidP="005C6B80">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1028</w:t>
            </w:r>
          </w:p>
        </w:tc>
        <w:tc>
          <w:tcPr>
            <w:tcW w:w="939"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814</w:t>
            </w:r>
          </w:p>
        </w:tc>
        <w:tc>
          <w:tcPr>
            <w:tcW w:w="904"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79.2</w:t>
            </w:r>
          </w:p>
        </w:tc>
        <w:tc>
          <w:tcPr>
            <w:tcW w:w="992"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1003</w:t>
            </w:r>
          </w:p>
        </w:tc>
        <w:tc>
          <w:tcPr>
            <w:tcW w:w="993"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97.6</w:t>
            </w:r>
          </w:p>
        </w:tc>
        <w:tc>
          <w:tcPr>
            <w:tcW w:w="992"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16</w:t>
            </w:r>
          </w:p>
        </w:tc>
        <w:tc>
          <w:tcPr>
            <w:tcW w:w="850"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1.6</w:t>
            </w:r>
          </w:p>
        </w:tc>
        <w:tc>
          <w:tcPr>
            <w:tcW w:w="903"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9</w:t>
            </w:r>
          </w:p>
        </w:tc>
        <w:tc>
          <w:tcPr>
            <w:tcW w:w="940"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0.9</w:t>
            </w:r>
          </w:p>
        </w:tc>
      </w:tr>
      <w:tr w:rsidR="002D0F1F" w:rsidTr="005F5E3F">
        <w:trPr>
          <w:cantSplit/>
          <w:trHeight w:val="425"/>
        </w:trPr>
        <w:tc>
          <w:tcPr>
            <w:tcW w:w="426" w:type="dxa"/>
            <w:vMerge/>
            <w:tcBorders>
              <w:top w:val="single" w:sz="4" w:space="0" w:color="808080" w:themeColor="background1" w:themeShade="80"/>
            </w:tcBorders>
            <w:textDirection w:val="btLr"/>
            <w:vAlign w:val="center"/>
          </w:tcPr>
          <w:p w:rsidR="002D0F1F"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2D0F1F" w:rsidRDefault="002D0F1F"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1028</w:t>
            </w:r>
          </w:p>
        </w:tc>
        <w:tc>
          <w:tcPr>
            <w:tcW w:w="939"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881</w:t>
            </w:r>
          </w:p>
        </w:tc>
        <w:tc>
          <w:tcPr>
            <w:tcW w:w="904"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85.7</w:t>
            </w:r>
          </w:p>
        </w:tc>
        <w:tc>
          <w:tcPr>
            <w:tcW w:w="992"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1011</w:t>
            </w:r>
          </w:p>
        </w:tc>
        <w:tc>
          <w:tcPr>
            <w:tcW w:w="993"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98.3</w:t>
            </w:r>
          </w:p>
        </w:tc>
        <w:tc>
          <w:tcPr>
            <w:tcW w:w="992"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6</w:t>
            </w:r>
          </w:p>
        </w:tc>
        <w:tc>
          <w:tcPr>
            <w:tcW w:w="850"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0.6</w:t>
            </w:r>
          </w:p>
        </w:tc>
        <w:tc>
          <w:tcPr>
            <w:tcW w:w="903"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11</w:t>
            </w:r>
          </w:p>
        </w:tc>
        <w:tc>
          <w:tcPr>
            <w:tcW w:w="940"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1.1</w:t>
            </w:r>
          </w:p>
        </w:tc>
      </w:tr>
      <w:tr w:rsidR="002D0F1F" w:rsidTr="005F5E3F">
        <w:trPr>
          <w:cantSplit/>
          <w:trHeight w:val="425"/>
        </w:trPr>
        <w:tc>
          <w:tcPr>
            <w:tcW w:w="426" w:type="dxa"/>
            <w:vMerge/>
            <w:tcBorders>
              <w:top w:val="single" w:sz="4" w:space="0" w:color="808080" w:themeColor="background1" w:themeShade="80"/>
            </w:tcBorders>
            <w:textDirection w:val="btLr"/>
            <w:vAlign w:val="center"/>
          </w:tcPr>
          <w:p w:rsidR="002D0F1F"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2D0F1F" w:rsidRDefault="002D0F1F"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1036</w:t>
            </w:r>
          </w:p>
        </w:tc>
        <w:tc>
          <w:tcPr>
            <w:tcW w:w="939"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890</w:t>
            </w:r>
          </w:p>
        </w:tc>
        <w:tc>
          <w:tcPr>
            <w:tcW w:w="904"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85.9</w:t>
            </w:r>
          </w:p>
        </w:tc>
        <w:tc>
          <w:tcPr>
            <w:tcW w:w="992"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1003</w:t>
            </w:r>
          </w:p>
        </w:tc>
        <w:tc>
          <w:tcPr>
            <w:tcW w:w="993"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96.8</w:t>
            </w:r>
          </w:p>
        </w:tc>
        <w:tc>
          <w:tcPr>
            <w:tcW w:w="992"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8</w:t>
            </w:r>
          </w:p>
        </w:tc>
        <w:tc>
          <w:tcPr>
            <w:tcW w:w="850"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0.8</w:t>
            </w:r>
          </w:p>
        </w:tc>
        <w:tc>
          <w:tcPr>
            <w:tcW w:w="903"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25</w:t>
            </w:r>
          </w:p>
        </w:tc>
        <w:tc>
          <w:tcPr>
            <w:tcW w:w="940"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2.4</w:t>
            </w:r>
          </w:p>
        </w:tc>
      </w:tr>
      <w:tr w:rsidR="002D0F1F" w:rsidTr="005F5E3F">
        <w:trPr>
          <w:cantSplit/>
          <w:trHeight w:val="425"/>
        </w:trPr>
        <w:tc>
          <w:tcPr>
            <w:tcW w:w="426" w:type="dxa"/>
            <w:vMerge/>
            <w:tcBorders>
              <w:top w:val="single" w:sz="4" w:space="0" w:color="808080" w:themeColor="background1" w:themeShade="80"/>
            </w:tcBorders>
            <w:textDirection w:val="btLr"/>
            <w:vAlign w:val="center"/>
          </w:tcPr>
          <w:p w:rsidR="002D0F1F"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2D0F1F" w:rsidRDefault="002D0F1F"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1029</w:t>
            </w:r>
          </w:p>
        </w:tc>
        <w:tc>
          <w:tcPr>
            <w:tcW w:w="939"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892</w:t>
            </w:r>
          </w:p>
        </w:tc>
        <w:tc>
          <w:tcPr>
            <w:tcW w:w="904"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86.7</w:t>
            </w:r>
          </w:p>
        </w:tc>
        <w:tc>
          <w:tcPr>
            <w:tcW w:w="992"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1007</w:t>
            </w:r>
          </w:p>
        </w:tc>
        <w:tc>
          <w:tcPr>
            <w:tcW w:w="993"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97.9</w:t>
            </w:r>
          </w:p>
        </w:tc>
        <w:tc>
          <w:tcPr>
            <w:tcW w:w="992"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12</w:t>
            </w:r>
          </w:p>
        </w:tc>
        <w:tc>
          <w:tcPr>
            <w:tcW w:w="850"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1.2</w:t>
            </w:r>
          </w:p>
        </w:tc>
        <w:tc>
          <w:tcPr>
            <w:tcW w:w="903"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10</w:t>
            </w:r>
          </w:p>
        </w:tc>
        <w:tc>
          <w:tcPr>
            <w:tcW w:w="940" w:type="dxa"/>
            <w:tcBorders>
              <w:top w:val="single" w:sz="4" w:space="0" w:color="808080" w:themeColor="background1" w:themeShade="80"/>
            </w:tcBorders>
            <w:vAlign w:val="center"/>
          </w:tcPr>
          <w:p w:rsidR="002D0F1F" w:rsidRDefault="005F5E3F" w:rsidP="002E7263">
            <w:pPr>
              <w:jc w:val="right"/>
              <w:rPr>
                <w:rFonts w:asciiTheme="minorHAnsi" w:hAnsiTheme="minorHAnsi"/>
                <w:b/>
                <w:sz w:val="20"/>
                <w:szCs w:val="20"/>
              </w:rPr>
            </w:pPr>
            <w:r>
              <w:rPr>
                <w:rFonts w:asciiTheme="minorHAnsi" w:hAnsiTheme="minorHAnsi"/>
                <w:b/>
                <w:sz w:val="20"/>
                <w:szCs w:val="20"/>
              </w:rPr>
              <w:t>1.0</w:t>
            </w:r>
          </w:p>
        </w:tc>
      </w:tr>
    </w:tbl>
    <w:p w:rsidR="002D0F1F"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2D0F1F" w:rsidRDefault="002B438D" w:rsidP="00ED3BDC">
      <w:r>
        <w:br w:type="page"/>
      </w:r>
    </w:p>
    <w:p w:rsidR="002D0F1F" w:rsidRDefault="002B438D" w:rsidP="00ED3BDC">
      <w:pPr>
        <w:rPr>
          <w:b/>
          <w:sz w:val="28"/>
        </w:rPr>
      </w:pPr>
      <w:r>
        <w:rPr>
          <w:b/>
          <w:sz w:val="28"/>
        </w:rPr>
        <w:lastRenderedPageBreak/>
        <w:t>Appendix 2: Bathing water quality map</w:t>
      </w:r>
    </w:p>
    <w:p w:rsidR="002D0F1F" w:rsidRDefault="002D0F1F" w:rsidP="00ED3BDC"/>
    <w:p w:rsidR="002D0F1F" w:rsidRDefault="005C6B80" w:rsidP="00ED3BDC">
      <w:r>
        <w:rPr>
          <w:noProof/>
          <w:lang w:eastAsia="en-GB"/>
        </w:rPr>
        <w:drawing>
          <wp:inline distT="0" distB="0" distL="0" distR="0">
            <wp:extent cx="6188710" cy="8008919"/>
            <wp:effectExtent l="0" t="0" r="2540" b="0"/>
            <wp:docPr id="4" name="Picture 4" descr="D:\Projekti\BWD\BWD 2017\National reports\GIS\map\NationalReports\PNG\20180420\DK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DK_20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2D0F1F" w:rsidSect="00344240">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B8A" w:rsidRDefault="002F5B8A" w:rsidP="00ED3BDC">
      <w:r>
        <w:separator/>
      </w:r>
    </w:p>
  </w:endnote>
  <w:endnote w:type="continuationSeparator" w:id="0">
    <w:p w:rsidR="002F5B8A" w:rsidRDefault="002F5B8A" w:rsidP="00ED3BDC">
      <w:r>
        <w:continuationSeparator/>
      </w:r>
    </w:p>
  </w:endnote>
  <w:endnote w:type="continuationNotice" w:id="1">
    <w:p w:rsidR="002F5B8A" w:rsidRDefault="002F5B8A"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1F" w:rsidRDefault="002D0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1F" w:rsidRDefault="002D0F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1F" w:rsidRDefault="002D0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B8A" w:rsidRDefault="002F5B8A" w:rsidP="00ED3BDC">
      <w:r>
        <w:separator/>
      </w:r>
    </w:p>
  </w:footnote>
  <w:footnote w:type="continuationSeparator" w:id="0">
    <w:p w:rsidR="002F5B8A" w:rsidRDefault="002F5B8A" w:rsidP="00ED3BDC">
      <w:r>
        <w:continuationSeparator/>
      </w:r>
    </w:p>
  </w:footnote>
  <w:footnote w:type="continuationNotice" w:id="1">
    <w:p w:rsidR="002F5B8A" w:rsidRDefault="002F5B8A"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5C6B80" w:rsidRPr="005C6B80" w:rsidRDefault="005C6B80">
      <w:pPr>
        <w:pStyle w:val="FootnoteText"/>
      </w:pPr>
      <w:r>
        <w:rPr>
          <w:rStyle w:val="FootnoteReference"/>
        </w:rPr>
        <w:footnoteRef/>
      </w:r>
      <w:r>
        <w:t xml:space="preserve"> </w:t>
      </w:r>
      <w:r w:rsidRPr="00AF59CC">
        <w:t>If season length in a country varies depending on bathing water, the single longest season per bathing water is indicated, and not the overall count of season days in a country.</w:t>
      </w:r>
    </w:p>
  </w:footnote>
  <w:footnote w:id="5">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6">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7">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8">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9">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10">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1">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2">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4">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1F" w:rsidRDefault="002D0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1F" w:rsidRDefault="002D0F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1F"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0F1F"/>
    <w:rsid w:val="002D2093"/>
    <w:rsid w:val="002D2104"/>
    <w:rsid w:val="002D46AF"/>
    <w:rsid w:val="002D7764"/>
    <w:rsid w:val="002E4A86"/>
    <w:rsid w:val="002E7263"/>
    <w:rsid w:val="002F24A6"/>
    <w:rsid w:val="002F2FE2"/>
    <w:rsid w:val="002F5B8A"/>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6B80"/>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ea.europa.eu/themes/water/interactive/bathing/state-of-bathing-wate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c.europa.eu/environment/water/index_en.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badevand.dk/" TargetMode="External"/><Relationship Id="rId14" Type="http://schemas.openxmlformats.org/officeDocument/2006/relationships/image" Target="media/image1.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c:v>
                </c:pt>
                <c:pt idx="1">
                  <c:v>0.81310000000000004</c:v>
                </c:pt>
                <c:pt idx="2">
                  <c:v>0.8448</c:v>
                </c:pt>
                <c:pt idx="3">
                  <c:v>0.83350000000000002</c:v>
                </c:pt>
                <c:pt idx="4">
                  <c:v>0.79190000000000005</c:v>
                </c:pt>
                <c:pt idx="5">
                  <c:v>0.92300000000000004</c:v>
                </c:pt>
                <c:pt idx="6">
                  <c:v>0.876</c:v>
                </c:pt>
                <c:pt idx="7">
                  <c:v>0.85589999999999999</c:v>
                </c:pt>
                <c:pt idx="8">
                  <c:v>0.80779999999999996</c:v>
                </c:pt>
                <c:pt idx="9">
                  <c:v>0.87680000000000002</c:v>
                </c:pt>
                <c:pt idx="10">
                  <c:v>0.87580000000000002</c:v>
                </c:pt>
                <c:pt idx="11">
                  <c:v>0.85440000000000005</c:v>
                </c:pt>
                <c:pt idx="12">
                  <c:v>0.91590000000000005</c:v>
                </c:pt>
                <c:pt idx="13">
                  <c:v>0.92959999999999998</c:v>
                </c:pt>
                <c:pt idx="14">
                  <c:v>0.90739999999999998</c:v>
                </c:pt>
                <c:pt idx="15">
                  <c:v>0.84209999999999996</c:v>
                </c:pt>
                <c:pt idx="16">
                  <c:v>0.80920000000000003</c:v>
                </c:pt>
                <c:pt idx="17">
                  <c:v>0.79830000000000001</c:v>
                </c:pt>
                <c:pt idx="18">
                  <c:v>0.74329999999999996</c:v>
                </c:pt>
                <c:pt idx="19">
                  <c:v>0.77700000000000002</c:v>
                </c:pt>
                <c:pt idx="20">
                  <c:v>0.6492</c:v>
                </c:pt>
                <c:pt idx="21">
                  <c:v>0.71120000000000005</c:v>
                </c:pt>
                <c:pt idx="22">
                  <c:v>0.75190000000000001</c:v>
                </c:pt>
                <c:pt idx="23">
                  <c:v>0.7732</c:v>
                </c:pt>
                <c:pt idx="24">
                  <c:v>0.84530000000000005</c:v>
                </c:pt>
                <c:pt idx="25">
                  <c:v>0.85229999999999995</c:v>
                </c:pt>
                <c:pt idx="26">
                  <c:v>0.85899999999999999</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0.87639999999999996</c:v>
                </c:pt>
                <c:pt idx="1">
                  <c:v>0.89680000000000004</c:v>
                </c:pt>
                <c:pt idx="2">
                  <c:v>0.93300000000000005</c:v>
                </c:pt>
                <c:pt idx="3">
                  <c:v>0.94199999999999995</c:v>
                </c:pt>
                <c:pt idx="4">
                  <c:v>0.90820000000000001</c:v>
                </c:pt>
                <c:pt idx="5">
                  <c:v>0.97240000000000004</c:v>
                </c:pt>
                <c:pt idx="6">
                  <c:v>0.95479999999999998</c:v>
                </c:pt>
                <c:pt idx="7">
                  <c:v>0.94299999999999995</c:v>
                </c:pt>
                <c:pt idx="8">
                  <c:v>0.92689999999999995</c:v>
                </c:pt>
                <c:pt idx="9">
                  <c:v>0.95779999999999998</c:v>
                </c:pt>
                <c:pt idx="10">
                  <c:v>0.95</c:v>
                </c:pt>
                <c:pt idx="11">
                  <c:v>0.93330000000000002</c:v>
                </c:pt>
                <c:pt idx="12">
                  <c:v>0.96409999999999996</c:v>
                </c:pt>
                <c:pt idx="13">
                  <c:v>0.96830000000000005</c:v>
                </c:pt>
                <c:pt idx="14">
                  <c:v>0.96860000000000002</c:v>
                </c:pt>
                <c:pt idx="15">
                  <c:v>0.93459999999999999</c:v>
                </c:pt>
                <c:pt idx="16">
                  <c:v>0.92920000000000003</c:v>
                </c:pt>
                <c:pt idx="17">
                  <c:v>0.96419999999999995</c:v>
                </c:pt>
                <c:pt idx="18">
                  <c:v>0.94479999999999997</c:v>
                </c:pt>
                <c:pt idx="19">
                  <c:v>0.96109999999999995</c:v>
                </c:pt>
                <c:pt idx="20">
                  <c:v>0.91500000000000004</c:v>
                </c:pt>
                <c:pt idx="21">
                  <c:v>0.93530000000000002</c:v>
                </c:pt>
                <c:pt idx="22">
                  <c:v>0.97289999999999999</c:v>
                </c:pt>
                <c:pt idx="23">
                  <c:v>0.97489999999999999</c:v>
                </c:pt>
                <c:pt idx="24">
                  <c:v>0.98370000000000002</c:v>
                </c:pt>
                <c:pt idx="25">
                  <c:v>0.96960000000000002</c:v>
                </c:pt>
                <c:pt idx="26">
                  <c:v>0.97699999999999998</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3.6999999999999998E-2</c:v>
                </c:pt>
                <c:pt idx="1">
                  <c:v>2.8199999999999999E-2</c:v>
                </c:pt>
                <c:pt idx="2">
                  <c:v>2.12E-2</c:v>
                </c:pt>
                <c:pt idx="3">
                  <c:v>3.3599999999999998E-2</c:v>
                </c:pt>
                <c:pt idx="4">
                  <c:v>3.3700000000000001E-2</c:v>
                </c:pt>
                <c:pt idx="5">
                  <c:v>1.26E-2</c:v>
                </c:pt>
                <c:pt idx="6">
                  <c:v>2.93E-2</c:v>
                </c:pt>
                <c:pt idx="7">
                  <c:v>4.1000000000000002E-2</c:v>
                </c:pt>
                <c:pt idx="8">
                  <c:v>5.9499999999999997E-2</c:v>
                </c:pt>
                <c:pt idx="9">
                  <c:v>2.8400000000000002E-2</c:v>
                </c:pt>
                <c:pt idx="10">
                  <c:v>3.9699999999999999E-2</c:v>
                </c:pt>
                <c:pt idx="11">
                  <c:v>5.5500000000000001E-2</c:v>
                </c:pt>
                <c:pt idx="12">
                  <c:v>2.2800000000000001E-2</c:v>
                </c:pt>
                <c:pt idx="13">
                  <c:v>2.64E-2</c:v>
                </c:pt>
                <c:pt idx="14">
                  <c:v>2.3599999999999999E-2</c:v>
                </c:pt>
                <c:pt idx="15">
                  <c:v>5.8500000000000003E-2</c:v>
                </c:pt>
                <c:pt idx="16">
                  <c:v>6.3E-2</c:v>
                </c:pt>
                <c:pt idx="17">
                  <c:v>3.5799999999999998E-2</c:v>
                </c:pt>
                <c:pt idx="18">
                  <c:v>5.0599999999999999E-2</c:v>
                </c:pt>
                <c:pt idx="19">
                  <c:v>3.6999999999999998E-2</c:v>
                </c:pt>
                <c:pt idx="20">
                  <c:v>3.85E-2</c:v>
                </c:pt>
                <c:pt idx="21">
                  <c:v>3.39E-2</c:v>
                </c:pt>
                <c:pt idx="22">
                  <c:v>1.95E-2</c:v>
                </c:pt>
                <c:pt idx="23">
                  <c:v>1.6400000000000001E-2</c:v>
                </c:pt>
                <c:pt idx="24">
                  <c:v>6.4999999999999997E-3</c:v>
                </c:pt>
                <c:pt idx="25">
                  <c:v>8.6999999999999994E-3</c:v>
                </c:pt>
                <c:pt idx="26">
                  <c:v>1.3100000000000001E-2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8.6599999999999996E-2</c:v>
                </c:pt>
                <c:pt idx="1">
                  <c:v>7.51E-2</c:v>
                </c:pt>
                <c:pt idx="2">
                  <c:v>4.58E-2</c:v>
                </c:pt>
                <c:pt idx="3">
                  <c:v>2.4400000000000002E-2</c:v>
                </c:pt>
                <c:pt idx="4">
                  <c:v>5.8099999999999999E-2</c:v>
                </c:pt>
                <c:pt idx="5">
                  <c:v>1.5100000000000001E-2</c:v>
                </c:pt>
                <c:pt idx="6">
                  <c:v>1.5900000000000001E-2</c:v>
                </c:pt>
                <c:pt idx="7">
                  <c:v>1.5900000000000001E-2</c:v>
                </c:pt>
                <c:pt idx="8">
                  <c:v>1.3599999999999999E-2</c:v>
                </c:pt>
                <c:pt idx="9">
                  <c:v>1.38E-2</c:v>
                </c:pt>
                <c:pt idx="10">
                  <c:v>1.04E-2</c:v>
                </c:pt>
                <c:pt idx="11">
                  <c:v>1.1299999999999999E-2</c:v>
                </c:pt>
                <c:pt idx="12">
                  <c:v>1.3100000000000001E-2</c:v>
                </c:pt>
                <c:pt idx="13">
                  <c:v>5.3E-3</c:v>
                </c:pt>
                <c:pt idx="14">
                  <c:v>7.9000000000000008E-3</c:v>
                </c:pt>
                <c:pt idx="15">
                  <c:v>7.0000000000000001E-3</c:v>
                </c:pt>
                <c:pt idx="16">
                  <c:v>7.7999999999999996E-3</c:v>
                </c:pt>
                <c:pt idx="17">
                  <c:v>0</c:v>
                </c:pt>
                <c:pt idx="18">
                  <c:v>4.5999999999999999E-3</c:v>
                </c:pt>
                <c:pt idx="19">
                  <c:v>1.9E-3</c:v>
                </c:pt>
                <c:pt idx="20">
                  <c:v>4.6399999999999997E-2</c:v>
                </c:pt>
                <c:pt idx="21">
                  <c:v>3.0800000000000001E-2</c:v>
                </c:pt>
                <c:pt idx="22">
                  <c:v>7.6E-3</c:v>
                </c:pt>
                <c:pt idx="23">
                  <c:v>8.6999999999999994E-3</c:v>
                </c:pt>
                <c:pt idx="24">
                  <c:v>9.7999999999999997E-3</c:v>
                </c:pt>
                <c:pt idx="25">
                  <c:v>2.1700000000000001E-2</c:v>
                </c:pt>
                <c:pt idx="26">
                  <c:v>9.7999999999999997E-3</c:v>
                </c:pt>
              </c:numCache>
            </c:numRef>
          </c:val>
          <c:smooth val="0"/>
        </c:ser>
        <c:dLbls>
          <c:showLegendKey val="0"/>
          <c:showVal val="0"/>
          <c:showCatName val="0"/>
          <c:showSerName val="0"/>
          <c:showPercent val="0"/>
          <c:showBubbleSize val="0"/>
        </c:dLbls>
        <c:marker val="1"/>
        <c:smooth val="0"/>
        <c:axId val="219432448"/>
        <c:axId val="219433984"/>
      </c:lineChart>
      <c:catAx>
        <c:axId val="219432448"/>
        <c:scaling>
          <c:orientation val="minMax"/>
        </c:scaling>
        <c:delete val="0"/>
        <c:axPos val="b"/>
        <c:numFmt formatCode="@" sourceLinked="0"/>
        <c:majorTickMark val="out"/>
        <c:minorTickMark val="none"/>
        <c:tickLblPos val="nextTo"/>
        <c:crossAx val="219433984"/>
        <c:crosses val="autoZero"/>
        <c:auto val="1"/>
        <c:lblAlgn val="ctr"/>
        <c:lblOffset val="100"/>
        <c:noMultiLvlLbl val="0"/>
      </c:catAx>
      <c:valAx>
        <c:axId val="21943398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19432448"/>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8.5000000000000006E-3</c:v>
                </c:pt>
                <c:pt idx="1">
                  <c:v>0.59630000000000005</c:v>
                </c:pt>
                <c:pt idx="2">
                  <c:v>0.63890000000000002</c:v>
                </c:pt>
                <c:pt idx="3">
                  <c:v>0.75449999999999995</c:v>
                </c:pt>
                <c:pt idx="4">
                  <c:v>0.64859999999999995</c:v>
                </c:pt>
                <c:pt idx="5">
                  <c:v>0.79649999999999999</c:v>
                </c:pt>
                <c:pt idx="6">
                  <c:v>0.76790000000000003</c:v>
                </c:pt>
                <c:pt idx="7">
                  <c:v>0.79279999999999995</c:v>
                </c:pt>
                <c:pt idx="8">
                  <c:v>0.79820000000000002</c:v>
                </c:pt>
                <c:pt idx="9">
                  <c:v>0.82609999999999995</c:v>
                </c:pt>
                <c:pt idx="10">
                  <c:v>0.81740000000000002</c:v>
                </c:pt>
                <c:pt idx="11">
                  <c:v>0.86729999999999996</c:v>
                </c:pt>
                <c:pt idx="12">
                  <c:v>0.87719999999999998</c:v>
                </c:pt>
                <c:pt idx="13">
                  <c:v>0.89290000000000003</c:v>
                </c:pt>
                <c:pt idx="14">
                  <c:v>0.84819999999999995</c:v>
                </c:pt>
                <c:pt idx="15">
                  <c:v>0.90180000000000005</c:v>
                </c:pt>
                <c:pt idx="16">
                  <c:v>0.8407</c:v>
                </c:pt>
                <c:pt idx="17">
                  <c:v>0.8</c:v>
                </c:pt>
                <c:pt idx="18">
                  <c:v>0.73499999999999999</c:v>
                </c:pt>
                <c:pt idx="19">
                  <c:v>0.90429999999999999</c:v>
                </c:pt>
                <c:pt idx="20">
                  <c:v>0.83050000000000002</c:v>
                </c:pt>
                <c:pt idx="21">
                  <c:v>0.89739999999999998</c:v>
                </c:pt>
                <c:pt idx="22">
                  <c:v>0.93859999999999999</c:v>
                </c:pt>
                <c:pt idx="23">
                  <c:v>0.94589999999999996</c:v>
                </c:pt>
                <c:pt idx="24">
                  <c:v>0.95450000000000002</c:v>
                </c:pt>
                <c:pt idx="25">
                  <c:v>0.91300000000000003</c:v>
                </c:pt>
                <c:pt idx="26">
                  <c:v>0.92979999999999996</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0.65810000000000002</c:v>
                </c:pt>
                <c:pt idx="1">
                  <c:v>0.75229999999999997</c:v>
                </c:pt>
                <c:pt idx="2">
                  <c:v>0.79630000000000001</c:v>
                </c:pt>
                <c:pt idx="3">
                  <c:v>0.86360000000000003</c:v>
                </c:pt>
                <c:pt idx="4">
                  <c:v>0.76580000000000004</c:v>
                </c:pt>
                <c:pt idx="5">
                  <c:v>0.88500000000000001</c:v>
                </c:pt>
                <c:pt idx="6">
                  <c:v>0.89290000000000003</c:v>
                </c:pt>
                <c:pt idx="7">
                  <c:v>0.91890000000000005</c:v>
                </c:pt>
                <c:pt idx="8">
                  <c:v>0.9123</c:v>
                </c:pt>
                <c:pt idx="9">
                  <c:v>0.92169999999999996</c:v>
                </c:pt>
                <c:pt idx="10">
                  <c:v>0.90429999999999999</c:v>
                </c:pt>
                <c:pt idx="11">
                  <c:v>0.97350000000000003</c:v>
                </c:pt>
                <c:pt idx="12">
                  <c:v>0.96489999999999998</c:v>
                </c:pt>
                <c:pt idx="13">
                  <c:v>0.96430000000000005</c:v>
                </c:pt>
                <c:pt idx="14">
                  <c:v>0.96430000000000005</c:v>
                </c:pt>
                <c:pt idx="15">
                  <c:v>0.96430000000000005</c:v>
                </c:pt>
                <c:pt idx="16">
                  <c:v>0.96460000000000001</c:v>
                </c:pt>
                <c:pt idx="17">
                  <c:v>0.94779999999999998</c:v>
                </c:pt>
                <c:pt idx="18">
                  <c:v>0.88890000000000002</c:v>
                </c:pt>
                <c:pt idx="19">
                  <c:v>1</c:v>
                </c:pt>
                <c:pt idx="20">
                  <c:v>0.89829999999999999</c:v>
                </c:pt>
                <c:pt idx="21">
                  <c:v>0.93159999999999998</c:v>
                </c:pt>
                <c:pt idx="22">
                  <c:v>0.96489999999999998</c:v>
                </c:pt>
                <c:pt idx="23">
                  <c:v>0.98199999999999998</c:v>
                </c:pt>
                <c:pt idx="24">
                  <c:v>0.98180000000000001</c:v>
                </c:pt>
                <c:pt idx="25">
                  <c:v>0.95650000000000002</c:v>
                </c:pt>
                <c:pt idx="26">
                  <c:v>0.99119999999999997</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2.5600000000000001E-2</c:v>
                </c:pt>
                <c:pt idx="1">
                  <c:v>4.5900000000000003E-2</c:v>
                </c:pt>
                <c:pt idx="2">
                  <c:v>1.8499999999999999E-2</c:v>
                </c:pt>
                <c:pt idx="3">
                  <c:v>9.1000000000000004E-3</c:v>
                </c:pt>
                <c:pt idx="4">
                  <c:v>5.4100000000000002E-2</c:v>
                </c:pt>
                <c:pt idx="5">
                  <c:v>1.77E-2</c:v>
                </c:pt>
                <c:pt idx="6">
                  <c:v>8.8999999999999999E-3</c:v>
                </c:pt>
                <c:pt idx="7">
                  <c:v>2.7E-2</c:v>
                </c:pt>
                <c:pt idx="8">
                  <c:v>3.5099999999999999E-2</c:v>
                </c:pt>
                <c:pt idx="9">
                  <c:v>3.4799999999999998E-2</c:v>
                </c:pt>
                <c:pt idx="10">
                  <c:v>4.3499999999999997E-2</c:v>
                </c:pt>
                <c:pt idx="11">
                  <c:v>8.8000000000000005E-3</c:v>
                </c:pt>
                <c:pt idx="12">
                  <c:v>1.7500000000000002E-2</c:v>
                </c:pt>
                <c:pt idx="13">
                  <c:v>8.8999999999999999E-3</c:v>
                </c:pt>
                <c:pt idx="14">
                  <c:v>1.7899999999999999E-2</c:v>
                </c:pt>
                <c:pt idx="15">
                  <c:v>1.7899999999999999E-2</c:v>
                </c:pt>
                <c:pt idx="16">
                  <c:v>1.77E-2</c:v>
                </c:pt>
                <c:pt idx="17">
                  <c:v>2.6100000000000002E-2</c:v>
                </c:pt>
                <c:pt idx="18">
                  <c:v>0.1111</c:v>
                </c:pt>
                <c:pt idx="19">
                  <c:v>0</c:v>
                </c:pt>
                <c:pt idx="20">
                  <c:v>8.5000000000000006E-3</c:v>
                </c:pt>
                <c:pt idx="21">
                  <c:v>8.5000000000000006E-3</c:v>
                </c:pt>
                <c:pt idx="22">
                  <c:v>8.8000000000000005E-3</c:v>
                </c:pt>
                <c:pt idx="23">
                  <c:v>8.9999999999999993E-3</c:v>
                </c:pt>
                <c:pt idx="24">
                  <c:v>0</c:v>
                </c:pt>
                <c:pt idx="25">
                  <c:v>0</c:v>
                </c:pt>
                <c:pt idx="26">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0.31619999999999998</c:v>
                </c:pt>
                <c:pt idx="1">
                  <c:v>0.20180000000000001</c:v>
                </c:pt>
                <c:pt idx="2">
                  <c:v>0.1852</c:v>
                </c:pt>
                <c:pt idx="3">
                  <c:v>0.1273</c:v>
                </c:pt>
                <c:pt idx="4">
                  <c:v>0.1802</c:v>
                </c:pt>
                <c:pt idx="5">
                  <c:v>9.7299999999999998E-2</c:v>
                </c:pt>
                <c:pt idx="6">
                  <c:v>9.8199999999999996E-2</c:v>
                </c:pt>
                <c:pt idx="7">
                  <c:v>5.4100000000000002E-2</c:v>
                </c:pt>
                <c:pt idx="8">
                  <c:v>5.2600000000000001E-2</c:v>
                </c:pt>
                <c:pt idx="9">
                  <c:v>4.3499999999999997E-2</c:v>
                </c:pt>
                <c:pt idx="10">
                  <c:v>5.2200000000000003E-2</c:v>
                </c:pt>
                <c:pt idx="11">
                  <c:v>1.77E-2</c:v>
                </c:pt>
                <c:pt idx="12">
                  <c:v>1.7500000000000002E-2</c:v>
                </c:pt>
                <c:pt idx="13">
                  <c:v>2.6800000000000001E-2</c:v>
                </c:pt>
                <c:pt idx="14">
                  <c:v>1.7899999999999999E-2</c:v>
                </c:pt>
                <c:pt idx="15">
                  <c:v>1.7899999999999999E-2</c:v>
                </c:pt>
                <c:pt idx="16">
                  <c:v>1.77E-2</c:v>
                </c:pt>
                <c:pt idx="17">
                  <c:v>2.6100000000000002E-2</c:v>
                </c:pt>
                <c:pt idx="18">
                  <c:v>0</c:v>
                </c:pt>
                <c:pt idx="19">
                  <c:v>0</c:v>
                </c:pt>
                <c:pt idx="20">
                  <c:v>9.3200000000000005E-2</c:v>
                </c:pt>
                <c:pt idx="21">
                  <c:v>5.9799999999999999E-2</c:v>
                </c:pt>
                <c:pt idx="22">
                  <c:v>2.63E-2</c:v>
                </c:pt>
                <c:pt idx="23">
                  <c:v>8.9999999999999993E-3</c:v>
                </c:pt>
                <c:pt idx="24">
                  <c:v>1.8200000000000001E-2</c:v>
                </c:pt>
                <c:pt idx="25">
                  <c:v>4.3499999999999997E-2</c:v>
                </c:pt>
                <c:pt idx="26">
                  <c:v>8.8000000000000005E-3</c:v>
                </c:pt>
              </c:numCache>
            </c:numRef>
          </c:val>
          <c:smooth val="0"/>
        </c:ser>
        <c:dLbls>
          <c:showLegendKey val="0"/>
          <c:showVal val="0"/>
          <c:showCatName val="0"/>
          <c:showSerName val="0"/>
          <c:showPercent val="0"/>
          <c:showBubbleSize val="0"/>
        </c:dLbls>
        <c:marker val="1"/>
        <c:smooth val="0"/>
        <c:axId val="240383104"/>
        <c:axId val="240384640"/>
      </c:lineChart>
      <c:catAx>
        <c:axId val="240383104"/>
        <c:scaling>
          <c:orientation val="minMax"/>
        </c:scaling>
        <c:delete val="0"/>
        <c:axPos val="b"/>
        <c:numFmt formatCode="@" sourceLinked="0"/>
        <c:majorTickMark val="out"/>
        <c:minorTickMark val="none"/>
        <c:tickLblPos val="nextTo"/>
        <c:crossAx val="240384640"/>
        <c:crosses val="autoZero"/>
        <c:auto val="1"/>
        <c:lblAlgn val="ctr"/>
        <c:lblOffset val="100"/>
        <c:noMultiLvlLbl val="0"/>
      </c:catAx>
      <c:valAx>
        <c:axId val="240384640"/>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40383104"/>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6619D-4528-42CD-A710-D48C1265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3040</TotalTime>
  <Pages>7</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2018-04-25T15:09:00Z</dcterms:modified>
</cp:coreProperties>
</file>