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57" w:rsidRDefault="000B7657" w:rsidP="00ED3BDC"/>
    <w:p w:rsidR="000B7657" w:rsidRDefault="00E95009" w:rsidP="00B67D96">
      <w:pPr>
        <w:jc w:val="center"/>
        <w:rPr>
          <w:rFonts w:cs="Arial"/>
          <w:b/>
          <w:bCs/>
          <w:sz w:val="32"/>
        </w:rPr>
      </w:pPr>
      <w:proofErr w:type="spellStart"/>
      <w:r>
        <w:rPr>
          <w:b/>
          <w:sz w:val="32"/>
        </w:rPr>
        <w:t>BWD</w:t>
      </w:r>
      <w:proofErr w:type="spellEnd"/>
      <w:r>
        <w:rPr>
          <w:b/>
          <w:sz w:val="32"/>
        </w:rPr>
        <w:t xml:space="preserve"> Report </w:t>
      </w:r>
      <w:proofErr w:type="gramStart"/>
      <w:r>
        <w:rPr>
          <w:b/>
          <w:sz w:val="32"/>
        </w:rPr>
        <w:t>For</w:t>
      </w:r>
      <w:proofErr w:type="gramEnd"/>
      <w:r>
        <w:rPr>
          <w:b/>
          <w:sz w:val="32"/>
        </w:rPr>
        <w:t xml:space="preserve"> the Bathing Season </w:t>
      </w:r>
      <w:r>
        <w:rPr>
          <w:rFonts w:cs="Arial"/>
          <w:b/>
          <w:bCs/>
          <w:sz w:val="32"/>
        </w:rPr>
        <w:t>2017</w:t>
      </w:r>
    </w:p>
    <w:p w:rsidR="000B7657" w:rsidRDefault="0079462E" w:rsidP="00B67D96">
      <w:pPr>
        <w:jc w:val="center"/>
        <w:rPr>
          <w:b/>
          <w:sz w:val="40"/>
        </w:rPr>
      </w:pPr>
      <w:r>
        <w:rPr>
          <w:b/>
          <w:sz w:val="40"/>
        </w:rPr>
        <w:t>Cyprus</w:t>
      </w:r>
    </w:p>
    <w:p w:rsidR="000B7657" w:rsidRDefault="000B7657" w:rsidP="00ED3BDC"/>
    <w:p w:rsidR="000B7657" w:rsidRDefault="000B7657" w:rsidP="00ED3BDC"/>
    <w:p w:rsidR="000B7657"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Cyprus.</w:t>
      </w:r>
    </w:p>
    <w:p w:rsidR="000B7657" w:rsidRDefault="000B7657" w:rsidP="00ED3BDC"/>
    <w:p w:rsidR="000B7657" w:rsidRDefault="000B7657" w:rsidP="00ED3BDC"/>
    <w:p w:rsidR="000B7657" w:rsidRDefault="0079462E" w:rsidP="00ED3BDC">
      <w:pPr>
        <w:pStyle w:val="Heading1"/>
      </w:pPr>
      <w:proofErr w:type="spellStart"/>
      <w:r>
        <w:t>BWD</w:t>
      </w:r>
      <w:proofErr w:type="spellEnd"/>
      <w:r>
        <w:t xml:space="preserve"> reporting in the season </w:t>
      </w:r>
      <w:r>
        <w:rPr>
          <w:szCs w:val="28"/>
        </w:rPr>
        <w:t>2017</w:t>
      </w:r>
    </w:p>
    <w:p w:rsidR="000B7657" w:rsidRDefault="000B7657" w:rsidP="00ED3BDC"/>
    <w:p w:rsidR="000B7657"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0B7657" w:rsidRDefault="0079462E" w:rsidP="00442644">
                            <w:pPr>
                              <w:jc w:val="center"/>
                              <w:rPr>
                                <w:rFonts w:asciiTheme="minorHAnsi" w:hAnsiTheme="minorHAnsi"/>
                                <w:b/>
                              </w:rPr>
                            </w:pPr>
                            <w:r>
                              <w:rPr>
                                <w:rFonts w:asciiTheme="minorHAnsi" w:hAnsiTheme="minorHAnsi"/>
                                <w:b/>
                              </w:rPr>
                              <w:t>Bathing waters of Cyprus in 2017</w:t>
                            </w:r>
                          </w:p>
                          <w:p w:rsidR="000B7657" w:rsidRDefault="000B7657" w:rsidP="00ED3BDC">
                            <w:pPr>
                              <w:rPr>
                                <w:rFonts w:asciiTheme="minorHAnsi" w:hAnsiTheme="minorHAnsi"/>
                                <w:sz w:val="20"/>
                              </w:rPr>
                            </w:pPr>
                          </w:p>
                          <w:p w:rsidR="000B7657"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113</w:t>
                            </w:r>
                          </w:p>
                          <w:p w:rsidR="000B7657"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113</w:t>
                            </w:r>
                          </w:p>
                          <w:p w:rsidR="000B7657"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0B7657" w:rsidRDefault="000B7657" w:rsidP="00DB3D3B">
                            <w:pPr>
                              <w:tabs>
                                <w:tab w:val="right" w:pos="3544"/>
                              </w:tabs>
                              <w:rPr>
                                <w:rFonts w:asciiTheme="minorHAnsi" w:hAnsiTheme="minorHAnsi"/>
                                <w:sz w:val="20"/>
                              </w:rPr>
                            </w:pPr>
                          </w:p>
                          <w:p w:rsidR="000B7657"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184 days</w:t>
                            </w:r>
                          </w:p>
                          <w:p w:rsidR="000B7657" w:rsidRDefault="0079462E" w:rsidP="00DB3D3B">
                            <w:pPr>
                              <w:tabs>
                                <w:tab w:val="right" w:pos="3544"/>
                              </w:tabs>
                              <w:rPr>
                                <w:rFonts w:asciiTheme="minorHAnsi" w:hAnsiTheme="minorHAnsi"/>
                                <w:sz w:val="20"/>
                              </w:rPr>
                            </w:pPr>
                            <w:r>
                              <w:rPr>
                                <w:rFonts w:asciiTheme="minorHAnsi" w:hAnsiTheme="minorHAnsi"/>
                                <w:sz w:val="20"/>
                              </w:rPr>
                              <w:tab/>
                              <w:t>1 May to 31 Oct</w:t>
                            </w:r>
                          </w:p>
                          <w:p w:rsidR="000B7657" w:rsidRDefault="000B7657" w:rsidP="00ED3BDC">
                            <w:pPr>
                              <w:rPr>
                                <w:rFonts w:asciiTheme="minorHAnsi" w:hAnsiTheme="minorHAnsi"/>
                                <w:sz w:val="20"/>
                              </w:rPr>
                            </w:pPr>
                          </w:p>
                          <w:p w:rsidR="000B7657"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991</w:t>
                            </w:r>
                          </w:p>
                          <w:p w:rsidR="000B7657" w:rsidRDefault="000B7657" w:rsidP="00ED3BDC">
                            <w:pPr>
                              <w:rPr>
                                <w:rFonts w:asciiTheme="minorHAnsi" w:hAnsiTheme="minorHAnsi"/>
                                <w:sz w:val="20"/>
                              </w:rPr>
                            </w:pPr>
                          </w:p>
                          <w:p w:rsidR="000B7657"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98 %</w:t>
                            </w:r>
                          </w:p>
                          <w:p w:rsidR="000B7657" w:rsidRDefault="0079462E" w:rsidP="00ED3BDC">
                            <w:pPr>
                              <w:rPr>
                                <w:rFonts w:asciiTheme="minorHAnsi" w:hAnsiTheme="minorHAnsi"/>
                                <w:b/>
                                <w:sz w:val="20"/>
                              </w:rPr>
                            </w:pPr>
                            <w:proofErr w:type="gramStart"/>
                            <w:r>
                              <w:rPr>
                                <w:rFonts w:asciiTheme="minorHAnsi" w:hAnsiTheme="minorHAnsi"/>
                                <w:b/>
                                <w:sz w:val="20"/>
                              </w:rPr>
                              <w:t>with</w:t>
                            </w:r>
                            <w:proofErr w:type="gramEnd"/>
                            <w:r>
                              <w:rPr>
                                <w:rFonts w:asciiTheme="minorHAnsi" w:hAnsiTheme="minorHAnsi"/>
                                <w:b/>
                                <w:sz w:val="20"/>
                              </w:rPr>
                              <w:t xml:space="preserve"> good or excellent </w:t>
                            </w:r>
                          </w:p>
                          <w:p w:rsidR="000B7657" w:rsidRDefault="0079462E" w:rsidP="00ED3BDC">
                            <w:pPr>
                              <w:rPr>
                                <w:rFonts w:asciiTheme="minorHAnsi" w:hAnsiTheme="minorHAnsi"/>
                                <w:b/>
                                <w:sz w:val="20"/>
                              </w:rPr>
                            </w:pPr>
                            <w:proofErr w:type="gramStart"/>
                            <w:r>
                              <w:rPr>
                                <w:rFonts w:asciiTheme="minorHAnsi" w:hAnsiTheme="minorHAnsi"/>
                                <w:b/>
                                <w:sz w:val="20"/>
                              </w:rPr>
                              <w:t>water</w:t>
                            </w:r>
                            <w:proofErr w:type="gramEnd"/>
                            <w:r>
                              <w:rPr>
                                <w:rFonts w:asciiTheme="minorHAnsi" w:hAnsiTheme="minorHAnsi"/>
                                <w:b/>
                                <w:sz w:val="20"/>
                              </w:rPr>
                              <w:t xml:space="preserve"> quality</w:t>
                            </w:r>
                          </w:p>
                          <w:p w:rsidR="000B7657" w:rsidRDefault="000B7657" w:rsidP="00ED3BDC">
                            <w:pPr>
                              <w:rPr>
                                <w:rFonts w:asciiTheme="minorHAnsi" w:hAnsiTheme="minorHAnsi"/>
                                <w:sz w:val="20"/>
                              </w:rPr>
                            </w:pPr>
                          </w:p>
                          <w:p w:rsidR="000B7657"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0B7657"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0B7657" w:rsidRDefault="0079462E" w:rsidP="00442644">
                      <w:pPr>
                        <w:jc w:val="center"/>
                        <w:rPr>
                          <w:rFonts w:asciiTheme="minorHAnsi" w:hAnsiTheme="minorHAnsi"/>
                          <w:b/>
                        </w:rPr>
                      </w:pPr>
                      <w:r>
                        <w:rPr>
                          <w:rFonts w:asciiTheme="minorHAnsi" w:hAnsiTheme="minorHAnsi"/>
                          <w:b/>
                        </w:rPr>
                        <w:t>Bathing waters of Cyprus in 2017</w:t>
                      </w:r>
                    </w:p>
                    <w:p w:rsidR="000B7657" w:rsidRDefault="000B7657" w:rsidP="00ED3BDC">
                      <w:pPr>
                        <w:rPr>
                          <w:rFonts w:asciiTheme="minorHAnsi" w:hAnsiTheme="minorHAnsi"/>
                          <w:sz w:val="20"/>
                        </w:rPr>
                      </w:pPr>
                    </w:p>
                    <w:p w:rsidR="000B7657"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113</w:t>
                      </w:r>
                    </w:p>
                    <w:p w:rsidR="000B7657"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113</w:t>
                      </w:r>
                    </w:p>
                    <w:p w:rsidR="000B7657"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0</w:t>
                      </w:r>
                    </w:p>
                    <w:p w:rsidR="000B7657" w:rsidRDefault="000B7657" w:rsidP="00DB3D3B">
                      <w:pPr>
                        <w:tabs>
                          <w:tab w:val="right" w:pos="3544"/>
                        </w:tabs>
                        <w:rPr>
                          <w:rFonts w:asciiTheme="minorHAnsi" w:hAnsiTheme="minorHAnsi"/>
                          <w:sz w:val="20"/>
                        </w:rPr>
                      </w:pPr>
                    </w:p>
                    <w:p w:rsidR="000B7657"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184 days</w:t>
                      </w:r>
                    </w:p>
                    <w:p w:rsidR="000B7657" w:rsidRDefault="0079462E" w:rsidP="00DB3D3B">
                      <w:pPr>
                        <w:tabs>
                          <w:tab w:val="right" w:pos="3544"/>
                        </w:tabs>
                        <w:rPr>
                          <w:rFonts w:asciiTheme="minorHAnsi" w:hAnsiTheme="minorHAnsi"/>
                          <w:sz w:val="20"/>
                        </w:rPr>
                      </w:pPr>
                      <w:r>
                        <w:rPr>
                          <w:rFonts w:asciiTheme="minorHAnsi" w:hAnsiTheme="minorHAnsi"/>
                          <w:sz w:val="20"/>
                        </w:rPr>
                        <w:tab/>
                        <w:t>1 May to 31 Oct</w:t>
                      </w:r>
                    </w:p>
                    <w:p w:rsidR="000B7657" w:rsidRDefault="000B7657" w:rsidP="00ED3BDC">
                      <w:pPr>
                        <w:rPr>
                          <w:rFonts w:asciiTheme="minorHAnsi" w:hAnsiTheme="minorHAnsi"/>
                          <w:sz w:val="20"/>
                        </w:rPr>
                      </w:pPr>
                    </w:p>
                    <w:p w:rsidR="000B7657"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991</w:t>
                      </w:r>
                    </w:p>
                    <w:p w:rsidR="000B7657" w:rsidRDefault="000B7657" w:rsidP="00ED3BDC">
                      <w:pPr>
                        <w:rPr>
                          <w:rFonts w:asciiTheme="minorHAnsi" w:hAnsiTheme="minorHAnsi"/>
                          <w:sz w:val="20"/>
                        </w:rPr>
                      </w:pPr>
                    </w:p>
                    <w:p w:rsidR="000B7657"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98 %</w:t>
                      </w:r>
                    </w:p>
                    <w:p w:rsidR="000B7657" w:rsidRDefault="0079462E" w:rsidP="00ED3BDC">
                      <w:pPr>
                        <w:rPr>
                          <w:rFonts w:asciiTheme="minorHAnsi" w:hAnsiTheme="minorHAnsi"/>
                          <w:b/>
                          <w:sz w:val="20"/>
                        </w:rPr>
                      </w:pPr>
                      <w:proofErr w:type="gramStart"/>
                      <w:r>
                        <w:rPr>
                          <w:rFonts w:asciiTheme="minorHAnsi" w:hAnsiTheme="minorHAnsi"/>
                          <w:b/>
                          <w:sz w:val="20"/>
                        </w:rPr>
                        <w:t>with</w:t>
                      </w:r>
                      <w:proofErr w:type="gramEnd"/>
                      <w:r>
                        <w:rPr>
                          <w:rFonts w:asciiTheme="minorHAnsi" w:hAnsiTheme="minorHAnsi"/>
                          <w:b/>
                          <w:sz w:val="20"/>
                        </w:rPr>
                        <w:t xml:space="preserve"> good or excellent </w:t>
                      </w:r>
                    </w:p>
                    <w:p w:rsidR="000B7657" w:rsidRDefault="0079462E" w:rsidP="00ED3BDC">
                      <w:pPr>
                        <w:rPr>
                          <w:rFonts w:asciiTheme="minorHAnsi" w:hAnsiTheme="minorHAnsi"/>
                          <w:b/>
                          <w:sz w:val="20"/>
                        </w:rPr>
                      </w:pPr>
                      <w:proofErr w:type="gramStart"/>
                      <w:r>
                        <w:rPr>
                          <w:rFonts w:asciiTheme="minorHAnsi" w:hAnsiTheme="minorHAnsi"/>
                          <w:b/>
                          <w:sz w:val="20"/>
                        </w:rPr>
                        <w:t>water</w:t>
                      </w:r>
                      <w:proofErr w:type="gramEnd"/>
                      <w:r>
                        <w:rPr>
                          <w:rFonts w:asciiTheme="minorHAnsi" w:hAnsiTheme="minorHAnsi"/>
                          <w:b/>
                          <w:sz w:val="20"/>
                        </w:rPr>
                        <w:t xml:space="preserve"> quality</w:t>
                      </w:r>
                    </w:p>
                    <w:p w:rsidR="000B7657" w:rsidRDefault="000B7657" w:rsidP="00ED3BDC">
                      <w:pPr>
                        <w:rPr>
                          <w:rFonts w:asciiTheme="minorHAnsi" w:hAnsiTheme="minorHAnsi"/>
                          <w:sz w:val="20"/>
                        </w:rPr>
                      </w:pPr>
                    </w:p>
                    <w:p w:rsidR="000B7657"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0B7657"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 xml:space="preserve">In the 2017 bathing season, 113 bathing waters have been reported in Cyprus. </w:t>
      </w:r>
      <w:proofErr w:type="gramStart"/>
      <w:r>
        <w:t>For each bathing water</w:t>
      </w:r>
      <w:proofErr w:type="gramEnd"/>
      <w:r>
        <w:t>, five groups of parameters have been delivered</w:t>
      </w:r>
      <w:r>
        <w:rPr>
          <w:rStyle w:val="FootnoteReference"/>
        </w:rPr>
        <w:footnoteReference w:id="3"/>
      </w:r>
      <w:r>
        <w:t>:</w:t>
      </w:r>
    </w:p>
    <w:p w:rsidR="000B765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0B765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0B765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0B7657"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0B7657" w:rsidRDefault="0079462E" w:rsidP="0099717D">
      <w:pPr>
        <w:pStyle w:val="ListParagraph"/>
        <w:numPr>
          <w:ilvl w:val="0"/>
          <w:numId w:val="2"/>
        </w:numPr>
        <w:spacing w:line="276" w:lineRule="auto"/>
        <w:rPr>
          <w:rFonts w:asciiTheme="majorHAnsi" w:hAnsiTheme="majorHAnsi"/>
          <w:sz w:val="22"/>
          <w:szCs w:val="22"/>
        </w:rPr>
      </w:pPr>
      <w:proofErr w:type="gramStart"/>
      <w:r>
        <w:rPr>
          <w:rFonts w:asciiTheme="majorHAnsi" w:hAnsiTheme="majorHAnsi"/>
          <w:i/>
          <w:sz w:val="22"/>
          <w:szCs w:val="22"/>
        </w:rPr>
        <w:t>short-term</w:t>
      </w:r>
      <w:proofErr w:type="gramEnd"/>
      <w:r>
        <w:rPr>
          <w:rFonts w:asciiTheme="majorHAnsi" w:hAnsiTheme="majorHAnsi"/>
          <w:i/>
          <w:sz w:val="22"/>
          <w:szCs w:val="22"/>
        </w:rPr>
        <w:t xml:space="preserve"> pollution periods</w:t>
      </w:r>
      <w:r>
        <w:rPr>
          <w:rFonts w:asciiTheme="majorHAnsi" w:hAnsiTheme="majorHAnsi"/>
          <w:sz w:val="22"/>
          <w:szCs w:val="22"/>
        </w:rPr>
        <w:t xml:space="preserve"> – measurable events of microbiological contamination; reporting is optional.</w:t>
      </w:r>
    </w:p>
    <w:p w:rsidR="000B7657" w:rsidRDefault="000B7657" w:rsidP="00ED3BDC"/>
    <w:p w:rsidR="000B7657" w:rsidRDefault="0079462E" w:rsidP="00ED3BDC">
      <w:r>
        <w:t xml:space="preserve">The authorities of </w:t>
      </w:r>
      <w:r>
        <w:rPr>
          <w:rFonts w:ascii="Cambria" w:hAnsi="Cambria"/>
        </w:rPr>
        <w:t>Cyprus</w:t>
      </w:r>
      <w:r>
        <w:t xml:space="preserve"> report data according to the new </w:t>
      </w:r>
      <w:proofErr w:type="spellStart"/>
      <w:r>
        <w:t>BWD</w:t>
      </w:r>
      <w:proofErr w:type="spellEnd"/>
      <w:r>
        <w:t xml:space="preserve"> (2006/7/EC) since the season </w:t>
      </w:r>
      <w:r>
        <w:rPr>
          <w:rFonts w:ascii="Cambria" w:hAnsi="Cambria"/>
        </w:rPr>
        <w:t>2008</w:t>
      </w:r>
      <w:r>
        <w:t>.</w:t>
      </w:r>
    </w:p>
    <w:p w:rsidR="000B7657" w:rsidRDefault="000B7657" w:rsidP="00ED3BDC"/>
    <w:p w:rsidR="000B7657" w:rsidRDefault="0079462E" w:rsidP="00ED3BDC">
      <w:r>
        <w:t xml:space="preserve">Altogether, </w:t>
      </w:r>
      <w:r>
        <w:rPr>
          <w:rFonts w:ascii="Cambria" w:hAnsi="Cambria"/>
          <w:b/>
        </w:rPr>
        <w:t>113</w:t>
      </w:r>
      <w:r>
        <w:rPr>
          <w:rFonts w:ascii="Cambria" w:hAnsi="Cambria"/>
        </w:rPr>
        <w:t xml:space="preserve"> </w:t>
      </w:r>
      <w:r>
        <w:rPr>
          <w:b/>
        </w:rPr>
        <w:t xml:space="preserve">bathing waters </w:t>
      </w:r>
      <w:r>
        <w:t xml:space="preserve">have been reported – 0.5% of all bathing waters in Europe. </w:t>
      </w:r>
      <w:r w:rsidR="00767F04">
        <w:t xml:space="preserve">No </w:t>
      </w:r>
      <w:r>
        <w:t xml:space="preserve">bathing waters have been newly reported in the recent season. </w:t>
      </w:r>
      <w:r w:rsidR="00767F04">
        <w:t xml:space="preserve">All </w:t>
      </w:r>
      <w:r>
        <w:t>bathing waters in Cyprus are of coastal typ</w:t>
      </w:r>
      <w:r w:rsidR="00767F04">
        <w:t>e</w:t>
      </w:r>
      <w:r>
        <w:t xml:space="preserve">. </w:t>
      </w:r>
      <w:r>
        <w:rPr>
          <w:b/>
        </w:rPr>
        <w:t>991 samples</w:t>
      </w:r>
      <w:r>
        <w:t xml:space="preserve"> were taken at bathing waters throughout the season – 9 per bathing water on average.</w:t>
      </w:r>
    </w:p>
    <w:p w:rsidR="000B7657" w:rsidRDefault="000B7657" w:rsidP="00ED3BDC">
      <w:bookmarkStart w:id="0" w:name="_GoBack"/>
      <w:bookmarkEnd w:id="0"/>
    </w:p>
    <w:p w:rsidR="000B7657" w:rsidRDefault="002B438D" w:rsidP="00ED3BDC">
      <w:r>
        <w:t>The maximum bathing season period was from 1 May to 31 October</w:t>
      </w:r>
      <w:r w:rsidR="00767F04">
        <w:t>, i.e. 184 days altogether.</w:t>
      </w:r>
    </w:p>
    <w:p w:rsidR="000B7657" w:rsidRDefault="00BB0009" w:rsidP="00ED3BDC">
      <w:r>
        <w:t xml:space="preserve"> </w:t>
      </w:r>
    </w:p>
    <w:p w:rsidR="000B7657" w:rsidRDefault="002B438D" w:rsidP="00ED3BDC">
      <w:r>
        <w:lastRenderedPageBreak/>
        <w:t xml:space="preserve">Detailed information on bathing waters is available from national portal at </w:t>
      </w:r>
      <w:hyperlink r:id="rId9" w:history="1">
        <w:r w:rsidR="00767F04" w:rsidRPr="003F4ABB">
          <w:rPr>
            <w:rStyle w:val="Hyperlink"/>
          </w:rPr>
          <w:t>http://www.moa.gov.cy/moa/environment/environmentnew.nsf/All/9E7057F0FB6B8067C2257F6200327E0D?OpenDocument</w:t>
        </w:r>
      </w:hyperlink>
      <w:r>
        <w:t>.</w:t>
      </w:r>
    </w:p>
    <w:p w:rsidR="000B7657" w:rsidRDefault="000B7657" w:rsidP="00ED3BDC"/>
    <w:p w:rsidR="000B7657" w:rsidRDefault="000B7657" w:rsidP="00ED3BDC"/>
    <w:p w:rsidR="000B7657" w:rsidRDefault="002B438D" w:rsidP="00ED3BDC">
      <w:pPr>
        <w:pStyle w:val="Heading1"/>
      </w:pPr>
      <w:r>
        <w:t>Assessment methodology</w:t>
      </w:r>
      <w:r>
        <w:rPr>
          <w:rStyle w:val="FootnoteReference"/>
        </w:rPr>
        <w:footnoteReference w:id="4"/>
      </w:r>
    </w:p>
    <w:p w:rsidR="000B7657" w:rsidRDefault="000B7657" w:rsidP="00ED3BDC"/>
    <w:p w:rsidR="000B7657"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0B7657" w:rsidRDefault="000B7657" w:rsidP="00ED3BDC"/>
    <w:p w:rsidR="000B7657" w:rsidRDefault="003F038E" w:rsidP="00ED3BDC">
      <w:r>
        <w:t>The monitoring requirements under the Directive are:</w:t>
      </w:r>
    </w:p>
    <w:p w:rsidR="000B7657"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0B7657"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0B7657" w:rsidRDefault="002B438D" w:rsidP="00ED3BDC">
      <w:pPr>
        <w:pStyle w:val="ListParagraph"/>
        <w:numPr>
          <w:ilvl w:val="0"/>
          <w:numId w:val="2"/>
        </w:numPr>
        <w:rPr>
          <w:rFonts w:asciiTheme="majorHAnsi" w:hAnsiTheme="majorHAnsi"/>
          <w:sz w:val="22"/>
          <w:szCs w:val="22"/>
        </w:rPr>
      </w:pPr>
      <w:proofErr w:type="gramStart"/>
      <w:r>
        <w:rPr>
          <w:rFonts w:asciiTheme="majorHAnsi" w:hAnsiTheme="majorHAnsi"/>
          <w:sz w:val="22"/>
          <w:szCs w:val="22"/>
        </w:rPr>
        <w:t>a</w:t>
      </w:r>
      <w:proofErr w:type="gramEnd"/>
      <w:r>
        <w:rPr>
          <w:rFonts w:asciiTheme="majorHAnsi" w:hAnsiTheme="majorHAnsi"/>
          <w:sz w:val="22"/>
          <w:szCs w:val="22"/>
        </w:rPr>
        <w:t xml:space="preserve">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0B7657" w:rsidRDefault="000B7657" w:rsidP="00ED3BDC"/>
    <w:p w:rsidR="000B7657" w:rsidRDefault="003F038E" w:rsidP="003F038E">
      <w:r>
        <w:t xml:space="preserve">If these rules are satisfied, the bathing water is categorised as 'sampling frequency satisfied'. If not all monitoring requirements are fulfilled the bathing water is categorised as 'not enough samples'. 98.2%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0B7657" w:rsidRDefault="000B7657" w:rsidP="00ED3BDC"/>
    <w:p w:rsidR="000B7657"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xml:space="preserve">: Bathing waters in 2017 according to compliance with </w:t>
      </w:r>
      <w:proofErr w:type="spellStart"/>
      <w:r>
        <w:t>BWD</w:t>
      </w:r>
      <w:proofErr w:type="spellEnd"/>
      <w:r>
        <w:t xml:space="preserve">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0B7657" w:rsidTr="00484359">
        <w:trPr>
          <w:trHeight w:val="343"/>
        </w:trPr>
        <w:tc>
          <w:tcPr>
            <w:tcW w:w="6379" w:type="dxa"/>
            <w:shd w:val="clear" w:color="auto" w:fill="F2F2F2" w:themeFill="background1" w:themeFillShade="F2"/>
            <w:vAlign w:val="center"/>
          </w:tcPr>
          <w:p w:rsidR="000B7657" w:rsidRDefault="000B7657" w:rsidP="00484359">
            <w:pPr>
              <w:jc w:val="left"/>
              <w:rPr>
                <w:rFonts w:asciiTheme="minorHAnsi" w:hAnsiTheme="minorHAnsi"/>
                <w:b/>
                <w:sz w:val="20"/>
              </w:rPr>
            </w:pPr>
          </w:p>
        </w:tc>
        <w:tc>
          <w:tcPr>
            <w:tcW w:w="1701" w:type="dxa"/>
            <w:shd w:val="clear" w:color="auto" w:fill="F2F2F2" w:themeFill="background1" w:themeFillShade="F2"/>
            <w:vAlign w:val="center"/>
          </w:tcPr>
          <w:p w:rsidR="000B7657"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0B7657" w:rsidRDefault="00484359" w:rsidP="00484359">
            <w:pPr>
              <w:jc w:val="left"/>
              <w:rPr>
                <w:rFonts w:asciiTheme="minorHAnsi" w:hAnsiTheme="minorHAnsi"/>
                <w:b/>
                <w:sz w:val="20"/>
              </w:rPr>
            </w:pPr>
            <w:r>
              <w:rPr>
                <w:rFonts w:asciiTheme="minorHAnsi" w:hAnsiTheme="minorHAnsi"/>
                <w:b/>
                <w:sz w:val="20"/>
              </w:rPr>
              <w:t>Share of total [%]</w:t>
            </w:r>
          </w:p>
        </w:tc>
      </w:tr>
      <w:tr w:rsidR="000B7657" w:rsidTr="00484359">
        <w:tc>
          <w:tcPr>
            <w:tcW w:w="6379" w:type="dxa"/>
          </w:tcPr>
          <w:p w:rsidR="000B7657"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0B7657"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0B7657" w:rsidRDefault="006D2330" w:rsidP="00B14C10">
            <w:pPr>
              <w:jc w:val="right"/>
              <w:rPr>
                <w:rFonts w:asciiTheme="minorHAnsi" w:hAnsiTheme="minorHAnsi"/>
                <w:sz w:val="20"/>
              </w:rPr>
            </w:pPr>
            <w:r>
              <w:rPr>
                <w:rFonts w:asciiTheme="minorHAnsi" w:hAnsiTheme="minorHAnsi"/>
                <w:sz w:val="20"/>
              </w:rPr>
              <w:t>111</w:t>
            </w:r>
          </w:p>
        </w:tc>
        <w:tc>
          <w:tcPr>
            <w:tcW w:w="1701" w:type="dxa"/>
            <w:vAlign w:val="center"/>
          </w:tcPr>
          <w:p w:rsidR="000B7657" w:rsidRDefault="004D61EC" w:rsidP="00B14C10">
            <w:pPr>
              <w:jc w:val="right"/>
              <w:rPr>
                <w:rFonts w:asciiTheme="minorHAnsi" w:hAnsiTheme="minorHAnsi"/>
                <w:b/>
                <w:sz w:val="20"/>
              </w:rPr>
            </w:pPr>
            <w:r>
              <w:rPr>
                <w:rFonts w:asciiTheme="minorHAnsi" w:hAnsiTheme="minorHAnsi"/>
                <w:sz w:val="20"/>
              </w:rPr>
              <w:t>98.2%</w:t>
            </w:r>
          </w:p>
        </w:tc>
      </w:tr>
      <w:tr w:rsidR="000B7657" w:rsidTr="00484359">
        <w:tc>
          <w:tcPr>
            <w:tcW w:w="6379" w:type="dxa"/>
          </w:tcPr>
          <w:p w:rsidR="000B7657"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0B7657"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0B7657" w:rsidRDefault="006710BD" w:rsidP="00B14C10">
            <w:pPr>
              <w:jc w:val="right"/>
              <w:rPr>
                <w:rFonts w:asciiTheme="minorHAnsi" w:hAnsiTheme="minorHAnsi"/>
                <w:b/>
                <w:sz w:val="20"/>
              </w:rPr>
            </w:pPr>
            <w:r>
              <w:rPr>
                <w:rFonts w:asciiTheme="minorHAnsi" w:hAnsiTheme="minorHAnsi"/>
                <w:sz w:val="20"/>
              </w:rPr>
              <w:t>2</w:t>
            </w:r>
          </w:p>
        </w:tc>
        <w:tc>
          <w:tcPr>
            <w:tcW w:w="1701" w:type="dxa"/>
            <w:vAlign w:val="center"/>
          </w:tcPr>
          <w:p w:rsidR="000B7657" w:rsidRDefault="004D61EC" w:rsidP="00484359">
            <w:pPr>
              <w:jc w:val="right"/>
              <w:rPr>
                <w:rFonts w:asciiTheme="minorHAnsi" w:hAnsiTheme="minorHAnsi"/>
                <w:b/>
                <w:sz w:val="20"/>
              </w:rPr>
            </w:pPr>
            <w:r>
              <w:rPr>
                <w:rFonts w:asciiTheme="minorHAnsi" w:hAnsiTheme="minorHAnsi"/>
                <w:sz w:val="20"/>
              </w:rPr>
              <w:t>1.8%</w:t>
            </w:r>
          </w:p>
        </w:tc>
      </w:tr>
      <w:tr w:rsidR="000B7657" w:rsidTr="00484359">
        <w:tc>
          <w:tcPr>
            <w:tcW w:w="6379" w:type="dxa"/>
          </w:tcPr>
          <w:p w:rsidR="000B7657"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0B7657"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0B7657" w:rsidRDefault="006710BD" w:rsidP="00B14C10">
            <w:pPr>
              <w:jc w:val="right"/>
              <w:rPr>
                <w:rFonts w:asciiTheme="minorHAnsi" w:hAnsiTheme="minorHAnsi"/>
                <w:b/>
                <w:sz w:val="20"/>
              </w:rPr>
            </w:pPr>
            <w:r>
              <w:rPr>
                <w:rFonts w:asciiTheme="minorHAnsi" w:hAnsiTheme="minorHAnsi"/>
                <w:sz w:val="20"/>
              </w:rPr>
              <w:lastRenderedPageBreak/>
              <w:t>0</w:t>
            </w:r>
          </w:p>
        </w:tc>
        <w:tc>
          <w:tcPr>
            <w:tcW w:w="1701" w:type="dxa"/>
            <w:vAlign w:val="center"/>
          </w:tcPr>
          <w:p w:rsidR="000B7657" w:rsidRDefault="004D61EC" w:rsidP="00B14C10">
            <w:pPr>
              <w:jc w:val="right"/>
              <w:rPr>
                <w:rFonts w:asciiTheme="minorHAnsi" w:hAnsiTheme="minorHAnsi"/>
                <w:b/>
                <w:sz w:val="20"/>
              </w:rPr>
            </w:pPr>
            <w:r>
              <w:rPr>
                <w:rFonts w:asciiTheme="minorHAnsi" w:hAnsiTheme="minorHAnsi"/>
                <w:sz w:val="20"/>
              </w:rPr>
              <w:t>0.0%</w:t>
            </w:r>
          </w:p>
        </w:tc>
      </w:tr>
      <w:tr w:rsidR="000B7657" w:rsidTr="00484359">
        <w:trPr>
          <w:trHeight w:val="323"/>
        </w:trPr>
        <w:tc>
          <w:tcPr>
            <w:tcW w:w="6379" w:type="dxa"/>
            <w:shd w:val="clear" w:color="auto" w:fill="F2F2F2" w:themeFill="background1" w:themeFillShade="F2"/>
            <w:vAlign w:val="center"/>
          </w:tcPr>
          <w:p w:rsidR="000B7657"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0B7657" w:rsidRDefault="00993FEC" w:rsidP="00484359">
            <w:pPr>
              <w:jc w:val="right"/>
              <w:rPr>
                <w:rFonts w:asciiTheme="minorHAnsi" w:hAnsiTheme="minorHAnsi"/>
                <w:b/>
                <w:sz w:val="20"/>
              </w:rPr>
            </w:pPr>
            <w:r>
              <w:rPr>
                <w:rFonts w:asciiTheme="minorHAnsi" w:hAnsiTheme="minorHAnsi"/>
                <w:b/>
                <w:sz w:val="20"/>
              </w:rPr>
              <w:t>113</w:t>
            </w:r>
          </w:p>
        </w:tc>
        <w:tc>
          <w:tcPr>
            <w:tcW w:w="1701" w:type="dxa"/>
            <w:shd w:val="clear" w:color="auto" w:fill="F2F2F2" w:themeFill="background1" w:themeFillShade="F2"/>
            <w:vAlign w:val="center"/>
          </w:tcPr>
          <w:p w:rsidR="000B7657" w:rsidRDefault="004943BD" w:rsidP="004943BD">
            <w:pPr>
              <w:jc w:val="right"/>
              <w:rPr>
                <w:rFonts w:asciiTheme="minorHAnsi" w:hAnsiTheme="minorHAnsi"/>
                <w:b/>
                <w:sz w:val="20"/>
              </w:rPr>
            </w:pPr>
            <w:r>
              <w:rPr>
                <w:rFonts w:asciiTheme="minorHAnsi" w:hAnsiTheme="minorHAnsi"/>
                <w:b/>
                <w:sz w:val="20"/>
              </w:rPr>
              <w:t>100%</w:t>
            </w:r>
          </w:p>
        </w:tc>
      </w:tr>
    </w:tbl>
    <w:p w:rsidR="000B7657" w:rsidRDefault="000B7657" w:rsidP="00ED3BDC"/>
    <w:p w:rsidR="000B7657"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0B7657" w:rsidRDefault="000B7657" w:rsidP="00ED3BDC"/>
    <w:p w:rsidR="000B7657"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0B7657" w:rsidRDefault="000B7657" w:rsidP="00ED3BDC"/>
    <w:p w:rsidR="000B7657" w:rsidRDefault="002F24A6" w:rsidP="002F24A6">
      <w:r>
        <w:t>Quality assessment is not possible for all bathing waters. In these cases, they are instead classified as either:</w:t>
      </w:r>
    </w:p>
    <w:p w:rsidR="000B7657" w:rsidRDefault="002F24A6" w:rsidP="002F24A6">
      <w:pPr>
        <w:ind w:firstLine="284"/>
      </w:pPr>
      <w:r>
        <w:t xml:space="preserve">• </w:t>
      </w:r>
      <w:proofErr w:type="gramStart"/>
      <w:r>
        <w:t>not</w:t>
      </w:r>
      <w:proofErr w:type="gramEnd"/>
      <w:r>
        <w:t xml:space="preserve"> enough samples</w:t>
      </w:r>
      <w:r>
        <w:rPr>
          <w:rStyle w:val="FootnoteReference"/>
        </w:rPr>
        <w:footnoteReference w:id="8"/>
      </w:r>
      <w:r>
        <w:t>;</w:t>
      </w:r>
    </w:p>
    <w:p w:rsidR="000B7657" w:rsidRDefault="002F24A6" w:rsidP="002F24A6">
      <w:pPr>
        <w:ind w:firstLine="284"/>
      </w:pPr>
      <w:r>
        <w:t xml:space="preserve">• </w:t>
      </w:r>
      <w:proofErr w:type="gramStart"/>
      <w:r>
        <w:t>new</w:t>
      </w:r>
      <w:proofErr w:type="gramEnd"/>
      <w:r>
        <w:rPr>
          <w:rStyle w:val="FootnoteReference"/>
        </w:rPr>
        <w:footnoteReference w:id="9"/>
      </w:r>
      <w:r>
        <w:t>;</w:t>
      </w:r>
    </w:p>
    <w:p w:rsidR="000B7657" w:rsidRDefault="00783E42" w:rsidP="00783E42">
      <w:pPr>
        <w:ind w:firstLine="284"/>
      </w:pPr>
      <w:r>
        <w:t xml:space="preserve">• </w:t>
      </w:r>
      <w:proofErr w:type="gramStart"/>
      <w:r>
        <w:t>changes</w:t>
      </w:r>
      <w:proofErr w:type="gramEnd"/>
      <w:r>
        <w:rPr>
          <w:rStyle w:val="FootnoteReference"/>
        </w:rPr>
        <w:footnoteReference w:id="10"/>
      </w:r>
      <w:r>
        <w:t>;</w:t>
      </w:r>
    </w:p>
    <w:p w:rsidR="000B7657" w:rsidRDefault="00783E42" w:rsidP="00783E42">
      <w:pPr>
        <w:ind w:firstLine="284"/>
      </w:pPr>
      <w:r>
        <w:t>• closed</w:t>
      </w:r>
      <w:r>
        <w:rPr>
          <w:rStyle w:val="FootnoteReference"/>
        </w:rPr>
        <w:footnoteReference w:id="11"/>
      </w:r>
      <w:r>
        <w:t>.</w:t>
      </w:r>
    </w:p>
    <w:p w:rsidR="000B7657" w:rsidRDefault="000B7657" w:rsidP="00AF3F74"/>
    <w:p w:rsidR="000B7657" w:rsidRDefault="000B7657" w:rsidP="00ED3BDC"/>
    <w:p w:rsidR="000B7657" w:rsidRDefault="002B438D" w:rsidP="00ED3BDC">
      <w:pPr>
        <w:pStyle w:val="Heading1"/>
      </w:pPr>
      <w:r>
        <w:t>Bathing water quality</w:t>
      </w:r>
    </w:p>
    <w:p w:rsidR="000B7657" w:rsidRDefault="000B7657" w:rsidP="00ED3BDC"/>
    <w:p w:rsidR="000B7657" w:rsidRDefault="002B438D" w:rsidP="00ED3BDC">
      <w:r>
        <w:t>The results of the bathing water quality in Cyprus throughout the past period are presented in Figure 1.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0B7657" w:rsidRDefault="000B7657" w:rsidP="00ED3BDC"/>
    <w:p w:rsidR="000B7657" w:rsidRDefault="002B438D" w:rsidP="00ED3BDC">
      <w:pPr>
        <w:pStyle w:val="Heading2"/>
      </w:pPr>
      <w:r>
        <w:t>Coastal bathing waters</w:t>
      </w:r>
    </w:p>
    <w:p w:rsidR="000B7657" w:rsidRDefault="000B7657" w:rsidP="00ED3BDC"/>
    <w:p w:rsidR="000B7657" w:rsidRDefault="002B438D" w:rsidP="00ED3BDC">
      <w:r>
        <w:t xml:space="preserve">In Cyprus, 98.2% of all existing bathing waters met at least sufficient water quality standards in 2017. See Appendix 1 for numeric data. </w:t>
      </w:r>
    </w:p>
    <w:p w:rsidR="000B7657" w:rsidRDefault="000B7657" w:rsidP="00ED3BDC"/>
    <w:p w:rsidR="000B7657" w:rsidRDefault="004349A7" w:rsidP="00164618">
      <w:r>
        <w:rPr>
          <w:noProof/>
          <w:lang w:eastAsia="en-GB"/>
        </w:rPr>
        <w:lastRenderedPageBreak/>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7657"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Cyprus. </w:t>
      </w:r>
      <w:r>
        <w:rPr>
          <w:b w:val="0"/>
        </w:rPr>
        <w:t xml:space="preserve">Note: the “At least sufficient” class also includes bathing waters of “Excellent” quality </w:t>
      </w:r>
      <w:proofErr w:type="gramStart"/>
      <w:r>
        <w:rPr>
          <w:b w:val="0"/>
        </w:rPr>
        <w:t>class,</w:t>
      </w:r>
      <w:proofErr w:type="gramEnd"/>
      <w:r>
        <w:rPr>
          <w:b w:val="0"/>
        </w:rPr>
        <w:t xml:space="preserve"> the sum of shares is therefore not 100%.</w:t>
      </w:r>
      <w:r>
        <w:t xml:space="preserve"> </w:t>
      </w:r>
    </w:p>
    <w:p w:rsidR="000B7657" w:rsidRDefault="000B7657" w:rsidP="00ED3BDC"/>
    <w:p w:rsidR="000B7657" w:rsidRDefault="000B7657" w:rsidP="00ED3BDC"/>
    <w:p w:rsidR="000B7657" w:rsidRDefault="002B438D" w:rsidP="00ED3BDC">
      <w:pPr>
        <w:pStyle w:val="Heading2"/>
      </w:pPr>
      <w:r>
        <w:t>Inland bathing waters</w:t>
      </w:r>
    </w:p>
    <w:p w:rsidR="000B7657" w:rsidRDefault="000B7657" w:rsidP="00ED3BDC"/>
    <w:p w:rsidR="000B7657" w:rsidRDefault="00C53244" w:rsidP="00ED3BDC">
      <w:r>
        <w:t xml:space="preserve">There are no reported inland bathing waters in Cyprus. </w:t>
      </w:r>
    </w:p>
    <w:p w:rsidR="000B7657" w:rsidRDefault="000B7657" w:rsidP="002318DD"/>
    <w:p w:rsidR="000B7657" w:rsidRDefault="000B7657" w:rsidP="00ED3BDC">
      <w:pPr>
        <w:pStyle w:val="Caption"/>
      </w:pPr>
    </w:p>
    <w:p w:rsidR="000B7657" w:rsidRDefault="000B7657" w:rsidP="00ED3BDC"/>
    <w:p w:rsidR="000B7657" w:rsidRDefault="002B438D" w:rsidP="00ED3BDC">
      <w:pPr>
        <w:pStyle w:val="Heading1"/>
      </w:pPr>
      <w:bookmarkStart w:id="2" w:name="OLE_LINK4"/>
      <w:bookmarkStart w:id="3" w:name="OLE_LINK5"/>
      <w:bookmarkStart w:id="4" w:name="OLE_LINK9"/>
      <w:r>
        <w:t>Information regarding management and other issues</w:t>
      </w:r>
      <w:bookmarkEnd w:id="2"/>
      <w:bookmarkEnd w:id="3"/>
    </w:p>
    <w:bookmarkEnd w:id="4"/>
    <w:p w:rsidR="000B7657" w:rsidRDefault="000B7657" w:rsidP="00ED3BDC"/>
    <w:p w:rsidR="0024023B" w:rsidRPr="00DC6016" w:rsidRDefault="0024023B" w:rsidP="0024023B">
      <w:r w:rsidRPr="00DC6016">
        <w:t xml:space="preserve">For the </w:t>
      </w:r>
      <w:r>
        <w:t>2017</w:t>
      </w:r>
      <w:r w:rsidRPr="00DC6016">
        <w:t xml:space="preserve"> bathing season, Cyprus monitored and reported under the Bathing Water Directive 2006/7/EC. The two parameters, “intestinal enterococci” and “Escherichia coli”, were analysed at least monthly and once before the start of the bathing season according to Article 3. The coastal areas monitored cover all the coastal area of the Republic of Cyprus in which the Government of Cyprus exercises effective control and are used for bathing. No freshwaters are used for bathing purposes in Cyprus.</w:t>
      </w:r>
    </w:p>
    <w:p w:rsidR="0024023B" w:rsidRPr="00DC6016" w:rsidRDefault="0024023B" w:rsidP="0024023B"/>
    <w:p w:rsidR="0024023B" w:rsidRPr="00DC6016" w:rsidRDefault="0024023B" w:rsidP="0024023B">
      <w:r w:rsidRPr="00DC6016">
        <w:t>All monitoring results and other related information are available to the public on registers held by the Department of Medical and Public Health Services and the Department of Environment or through the website of the Department of Environment (</w:t>
      </w:r>
      <w:hyperlink r:id="rId11" w:history="1">
        <w:r w:rsidRPr="00DC6016">
          <w:rPr>
            <w:color w:val="0000FF"/>
            <w:u w:val="single"/>
          </w:rPr>
          <w:t>http://www.moa.gov.cy/environment</w:t>
        </w:r>
      </w:hyperlink>
      <w:r w:rsidRPr="00DC6016">
        <w:t>). The profiles of all 113 bathing water can be observed through the website of the department of Environment (</w:t>
      </w:r>
      <w:hyperlink r:id="rId12" w:history="1">
        <w:r w:rsidRPr="00DC6016">
          <w:rPr>
            <w:color w:val="0000FF"/>
            <w:u w:val="single"/>
          </w:rPr>
          <w:t>http://www.moa.gov.cy/moa/environment/environmentnew.nsf/All/9E7057F0FB6B8067C2257F6200327E0D?OpenDocument</w:t>
        </w:r>
      </w:hyperlink>
      <w:r w:rsidRPr="00DC6016">
        <w:t>).</w:t>
      </w:r>
    </w:p>
    <w:p w:rsidR="0024023B" w:rsidRPr="00DC6016" w:rsidRDefault="0024023B" w:rsidP="0024023B"/>
    <w:p w:rsidR="0024023B" w:rsidRPr="00DC6016" w:rsidRDefault="0024023B" w:rsidP="0024023B">
      <w:r w:rsidRPr="00DC6016">
        <w:t xml:space="preserve">In the 2017 bathing season, </w:t>
      </w:r>
      <w:r>
        <w:t>nine</w:t>
      </w:r>
      <w:r w:rsidRPr="00DC6016">
        <w:t xml:space="preserve"> s</w:t>
      </w:r>
      <w:r>
        <w:t>hort-</w:t>
      </w:r>
      <w:r w:rsidRPr="00DC6016">
        <w:t>term pol</w:t>
      </w:r>
      <w:r>
        <w:t>lution incidents were reported.</w:t>
      </w:r>
    </w:p>
    <w:p w:rsidR="0024023B" w:rsidRPr="00DC6016" w:rsidRDefault="0024023B" w:rsidP="0024023B"/>
    <w:p w:rsidR="0024023B" w:rsidRPr="00DC6016" w:rsidRDefault="0024023B" w:rsidP="0024023B">
      <w:r w:rsidRPr="00DC6016">
        <w:t xml:space="preserve">Wastewater treatment plants are in operation for </w:t>
      </w:r>
      <w:r>
        <w:t>five</w:t>
      </w:r>
      <w:r w:rsidRPr="00DC6016">
        <w:t xml:space="preserve"> large agglomerations on the coast of Cyprus. Wastewater effluent is almost entirely reused for irrigation. There is no disposal of untreated wastewater (municipal or industrial) to the sea.</w:t>
      </w:r>
    </w:p>
    <w:p w:rsidR="0024023B" w:rsidRPr="00DC6016" w:rsidRDefault="0024023B" w:rsidP="0024023B"/>
    <w:p w:rsidR="0024023B" w:rsidRPr="00DC6016" w:rsidRDefault="0024023B" w:rsidP="0024023B">
      <w:r>
        <w:lastRenderedPageBreak/>
        <w:t xml:space="preserve">As regards the bathing water </w:t>
      </w:r>
      <w:r w:rsidRPr="00DC6016">
        <w:t>areas for which the results have exceeded the levels defined in the Directive, management measures were taken by inspectors from various departments and all the relevant provisions of the Environmental Laws have been applied.</w:t>
      </w:r>
    </w:p>
    <w:p w:rsidR="0024023B" w:rsidRPr="00DC6016" w:rsidRDefault="0024023B" w:rsidP="0024023B"/>
    <w:p w:rsidR="0024023B" w:rsidRPr="00DC6016" w:rsidRDefault="0024023B" w:rsidP="0024023B">
      <w:r w:rsidRPr="00DC6016">
        <w:t>It is worth mentioning that the Cyprus climatic conditions (increased sunlight and high temperature) and the salinity of the coastal waters in the Eastern Mediterranean are quite unfavourable to the survival of microorganisms.</w:t>
      </w:r>
    </w:p>
    <w:p w:rsidR="000B7657" w:rsidRDefault="000B7657" w:rsidP="00ED3BDC"/>
    <w:p w:rsidR="000B7657" w:rsidRDefault="000B7657" w:rsidP="00ED3BDC"/>
    <w:p w:rsidR="000B7657" w:rsidRDefault="0024729D" w:rsidP="00ED3BDC">
      <w:pPr>
        <w:pStyle w:val="Heading1"/>
      </w:pPr>
      <w:r>
        <w:t>Bathing water quality assessment presentation in online viewers</w:t>
      </w:r>
    </w:p>
    <w:p w:rsidR="000B7657" w:rsidRDefault="000B7657" w:rsidP="00ED3BDC"/>
    <w:p w:rsidR="000B7657"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0B7657" w:rsidRDefault="000B7657" w:rsidP="00EC573D"/>
    <w:p w:rsidR="000B7657" w:rsidRDefault="003E2BA0" w:rsidP="003E2BA0">
      <w:r>
        <w:t xml:space="preserve">The bathing water section of the Water Information System for Europe (WISE) which is accessible at the </w:t>
      </w:r>
      <w:proofErr w:type="spellStart"/>
      <w:r>
        <w:t>EEA</w:t>
      </w:r>
      <w:proofErr w:type="spellEnd"/>
      <w:r>
        <w:t xml:space="preserve">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0B7657" w:rsidRDefault="002B438D" w:rsidP="003E2BA0">
      <w:r>
        <w:br w:type="page"/>
      </w:r>
    </w:p>
    <w:p w:rsidR="000B7657" w:rsidRDefault="002B438D" w:rsidP="00ED3BDC">
      <w:pPr>
        <w:rPr>
          <w:b/>
          <w:sz w:val="28"/>
        </w:rPr>
      </w:pPr>
      <w:r>
        <w:rPr>
          <w:b/>
          <w:sz w:val="28"/>
        </w:rPr>
        <w:lastRenderedPageBreak/>
        <w:t>Appendix 1: Results of bathing water quality in Cyprus from 2014 to 2017</w:t>
      </w:r>
    </w:p>
    <w:p w:rsidR="000B7657" w:rsidRDefault="000B7657" w:rsidP="00ED3BDC"/>
    <w:p w:rsidR="000B7657"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0B7657" w:rsidTr="005F5E3F">
        <w:tc>
          <w:tcPr>
            <w:tcW w:w="1276" w:type="dxa"/>
            <w:gridSpan w:val="2"/>
            <w:vMerge w:val="restart"/>
            <w:shd w:val="clear" w:color="auto" w:fill="F2F2F2" w:themeFill="background1" w:themeFillShade="F2"/>
          </w:tcPr>
          <w:p w:rsidR="000B7657" w:rsidRDefault="000B7657"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0B7657" w:rsidRDefault="005F5E3F" w:rsidP="00B853E1">
            <w:pPr>
              <w:jc w:val="center"/>
              <w:rPr>
                <w:rFonts w:asciiTheme="minorHAnsi" w:hAnsiTheme="minorHAnsi"/>
                <w:b/>
                <w:sz w:val="20"/>
                <w:szCs w:val="20"/>
              </w:rPr>
            </w:pPr>
            <w:r>
              <w:rPr>
                <w:rFonts w:asciiTheme="minorHAnsi" w:hAnsiTheme="minorHAnsi"/>
                <w:b/>
                <w:sz w:val="20"/>
                <w:szCs w:val="20"/>
              </w:rPr>
              <w:t>Total</w:t>
            </w:r>
          </w:p>
          <w:p w:rsidR="000B7657" w:rsidRDefault="005F5E3F" w:rsidP="00B853E1">
            <w:pPr>
              <w:jc w:val="center"/>
              <w:rPr>
                <w:rFonts w:asciiTheme="minorHAnsi" w:hAnsiTheme="minorHAnsi"/>
                <w:b/>
                <w:sz w:val="20"/>
                <w:szCs w:val="20"/>
              </w:rPr>
            </w:pPr>
            <w:r>
              <w:rPr>
                <w:rFonts w:asciiTheme="minorHAnsi" w:hAnsiTheme="minorHAnsi"/>
                <w:b/>
                <w:sz w:val="20"/>
                <w:szCs w:val="20"/>
              </w:rPr>
              <w:t>number</w:t>
            </w:r>
          </w:p>
          <w:p w:rsidR="000B7657" w:rsidRDefault="005F5E3F" w:rsidP="00B853E1">
            <w:pPr>
              <w:jc w:val="center"/>
              <w:rPr>
                <w:rFonts w:asciiTheme="minorHAnsi" w:hAnsiTheme="minorHAnsi"/>
                <w:b/>
                <w:sz w:val="20"/>
                <w:szCs w:val="20"/>
              </w:rPr>
            </w:pPr>
            <w:r>
              <w:rPr>
                <w:rFonts w:asciiTheme="minorHAnsi" w:hAnsiTheme="minorHAnsi"/>
                <w:b/>
                <w:sz w:val="20"/>
                <w:szCs w:val="20"/>
              </w:rPr>
              <w:t>of</w:t>
            </w:r>
          </w:p>
          <w:p w:rsidR="000B7657" w:rsidRDefault="005F5E3F" w:rsidP="00B853E1">
            <w:pPr>
              <w:jc w:val="center"/>
              <w:rPr>
                <w:rFonts w:asciiTheme="minorHAnsi" w:hAnsiTheme="minorHAnsi"/>
                <w:b/>
                <w:sz w:val="20"/>
                <w:szCs w:val="20"/>
              </w:rPr>
            </w:pPr>
            <w:r>
              <w:rPr>
                <w:rFonts w:asciiTheme="minorHAnsi" w:hAnsiTheme="minorHAnsi"/>
                <w:b/>
                <w:sz w:val="20"/>
                <w:szCs w:val="20"/>
              </w:rPr>
              <w:t>bathing</w:t>
            </w:r>
          </w:p>
          <w:p w:rsidR="000B7657"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0B7657"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0B7657" w:rsidRDefault="005F5E3F" w:rsidP="00B853E1">
            <w:pPr>
              <w:jc w:val="center"/>
              <w:rPr>
                <w:rFonts w:asciiTheme="minorHAnsi" w:hAnsiTheme="minorHAnsi"/>
                <w:b/>
                <w:sz w:val="20"/>
                <w:szCs w:val="20"/>
              </w:rPr>
            </w:pPr>
            <w:r>
              <w:rPr>
                <w:rFonts w:asciiTheme="minorHAnsi" w:hAnsiTheme="minorHAnsi"/>
                <w:b/>
                <w:sz w:val="20"/>
                <w:szCs w:val="20"/>
              </w:rPr>
              <w:t>At least</w:t>
            </w:r>
          </w:p>
          <w:p w:rsidR="000B7657" w:rsidRDefault="005F5E3F" w:rsidP="00B853E1">
            <w:pPr>
              <w:jc w:val="center"/>
              <w:rPr>
                <w:rFonts w:asciiTheme="minorHAnsi" w:hAnsiTheme="minorHAnsi"/>
                <w:b/>
                <w:sz w:val="20"/>
                <w:szCs w:val="20"/>
              </w:rPr>
            </w:pPr>
            <w:r>
              <w:rPr>
                <w:rFonts w:asciiTheme="minorHAnsi" w:hAnsiTheme="minorHAnsi"/>
                <w:b/>
                <w:sz w:val="20"/>
                <w:szCs w:val="20"/>
              </w:rPr>
              <w:t>sufficient</w:t>
            </w:r>
          </w:p>
          <w:p w:rsidR="000B7657"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0B7657"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0B7657" w:rsidRDefault="005F5E3F" w:rsidP="00B853E1">
            <w:pPr>
              <w:jc w:val="center"/>
              <w:rPr>
                <w:rFonts w:asciiTheme="minorHAnsi" w:hAnsiTheme="minorHAnsi"/>
                <w:b/>
                <w:sz w:val="20"/>
                <w:szCs w:val="20"/>
              </w:rPr>
            </w:pPr>
            <w:r>
              <w:rPr>
                <w:rFonts w:asciiTheme="minorHAnsi" w:hAnsiTheme="minorHAnsi"/>
                <w:b/>
                <w:sz w:val="20"/>
                <w:szCs w:val="20"/>
              </w:rPr>
              <w:t>Quality</w:t>
            </w:r>
          </w:p>
          <w:p w:rsidR="000B7657"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0B7657"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0B7657"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0B7657" w:rsidRDefault="005F5E3F" w:rsidP="00B853E1">
            <w:pPr>
              <w:jc w:val="center"/>
              <w:rPr>
                <w:rFonts w:asciiTheme="minorHAnsi" w:hAnsiTheme="minorHAnsi"/>
                <w:b/>
                <w:sz w:val="20"/>
                <w:szCs w:val="20"/>
              </w:rPr>
            </w:pPr>
            <w:r>
              <w:rPr>
                <w:rFonts w:asciiTheme="minorHAnsi" w:hAnsiTheme="minorHAnsi"/>
                <w:b/>
                <w:sz w:val="20"/>
                <w:szCs w:val="20"/>
              </w:rPr>
              <w:t>/new bathing</w:t>
            </w:r>
          </w:p>
          <w:p w:rsidR="000B7657" w:rsidRDefault="005F5E3F" w:rsidP="00B853E1">
            <w:pPr>
              <w:jc w:val="center"/>
              <w:rPr>
                <w:rFonts w:asciiTheme="minorHAnsi" w:hAnsiTheme="minorHAnsi"/>
                <w:b/>
                <w:sz w:val="20"/>
                <w:szCs w:val="20"/>
              </w:rPr>
            </w:pPr>
            <w:r>
              <w:rPr>
                <w:rFonts w:asciiTheme="minorHAnsi" w:hAnsiTheme="minorHAnsi"/>
                <w:b/>
                <w:sz w:val="20"/>
                <w:szCs w:val="20"/>
              </w:rPr>
              <w:t>waters/bathing</w:t>
            </w:r>
          </w:p>
          <w:p w:rsidR="000B7657"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0B7657" w:rsidTr="005F5E3F">
        <w:tc>
          <w:tcPr>
            <w:tcW w:w="1276" w:type="dxa"/>
            <w:gridSpan w:val="2"/>
            <w:vMerge/>
            <w:tcBorders>
              <w:bottom w:val="single" w:sz="4" w:space="0" w:color="808080" w:themeColor="background1" w:themeShade="80"/>
            </w:tcBorders>
            <w:shd w:val="clear" w:color="auto" w:fill="F2F2F2" w:themeFill="background1" w:themeFillShade="F2"/>
          </w:tcPr>
          <w:p w:rsidR="000B7657" w:rsidRDefault="000B7657"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0B7657" w:rsidRDefault="000B7657"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0B765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0B7657"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0B765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0B7657"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0B765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0B7657"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0B765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0B7657" w:rsidRDefault="005F5E3F" w:rsidP="00430B97">
            <w:pPr>
              <w:jc w:val="center"/>
              <w:rPr>
                <w:rFonts w:asciiTheme="minorHAnsi" w:hAnsiTheme="minorHAnsi"/>
                <w:b/>
                <w:sz w:val="20"/>
                <w:szCs w:val="20"/>
              </w:rPr>
            </w:pPr>
            <w:r>
              <w:rPr>
                <w:rFonts w:asciiTheme="minorHAnsi" w:hAnsiTheme="minorHAnsi"/>
                <w:b/>
                <w:sz w:val="20"/>
                <w:szCs w:val="20"/>
              </w:rPr>
              <w:t>%</w:t>
            </w:r>
          </w:p>
        </w:tc>
      </w:tr>
      <w:tr w:rsidR="000B7657" w:rsidTr="005F5E3F">
        <w:trPr>
          <w:cantSplit/>
          <w:trHeight w:val="425"/>
        </w:trPr>
        <w:tc>
          <w:tcPr>
            <w:tcW w:w="426" w:type="dxa"/>
            <w:vMerge w:val="restart"/>
            <w:tcBorders>
              <w:top w:val="single" w:sz="4" w:space="0" w:color="808080" w:themeColor="background1" w:themeShade="80"/>
            </w:tcBorders>
            <w:textDirection w:val="btLr"/>
            <w:vAlign w:val="center"/>
          </w:tcPr>
          <w:p w:rsidR="000B7657" w:rsidRDefault="005F5E3F" w:rsidP="0024023B">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39"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04"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0.0</w:t>
            </w:r>
          </w:p>
        </w:tc>
      </w:tr>
      <w:tr w:rsidR="000B7657" w:rsidTr="005F5E3F">
        <w:trPr>
          <w:cantSplit/>
          <w:trHeight w:val="425"/>
        </w:trPr>
        <w:tc>
          <w:tcPr>
            <w:tcW w:w="426" w:type="dxa"/>
            <w:vMerge/>
            <w:tcBorders>
              <w:top w:val="single" w:sz="4" w:space="0" w:color="808080" w:themeColor="background1" w:themeShade="80"/>
            </w:tcBorders>
            <w:textDirection w:val="btLr"/>
            <w:vAlign w:val="center"/>
          </w:tcPr>
          <w:p w:rsidR="000B765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B7657" w:rsidRDefault="000B765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04"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0.9</w:t>
            </w:r>
          </w:p>
        </w:tc>
      </w:tr>
      <w:tr w:rsidR="000B7657" w:rsidTr="005F5E3F">
        <w:trPr>
          <w:cantSplit/>
          <w:trHeight w:val="425"/>
        </w:trPr>
        <w:tc>
          <w:tcPr>
            <w:tcW w:w="426" w:type="dxa"/>
            <w:vMerge/>
            <w:tcBorders>
              <w:top w:val="single" w:sz="4" w:space="0" w:color="808080" w:themeColor="background1" w:themeShade="80"/>
            </w:tcBorders>
            <w:textDirection w:val="btLr"/>
            <w:vAlign w:val="center"/>
          </w:tcPr>
          <w:p w:rsidR="000B765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B7657" w:rsidRDefault="000B765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04"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0.9</w:t>
            </w:r>
          </w:p>
        </w:tc>
      </w:tr>
      <w:tr w:rsidR="000B7657" w:rsidTr="005F5E3F">
        <w:trPr>
          <w:cantSplit/>
          <w:trHeight w:val="425"/>
        </w:trPr>
        <w:tc>
          <w:tcPr>
            <w:tcW w:w="426" w:type="dxa"/>
            <w:vMerge/>
            <w:tcBorders>
              <w:top w:val="single" w:sz="4" w:space="0" w:color="808080" w:themeColor="background1" w:themeShade="80"/>
            </w:tcBorders>
            <w:textDirection w:val="btLr"/>
            <w:vAlign w:val="center"/>
          </w:tcPr>
          <w:p w:rsidR="000B765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B7657" w:rsidRDefault="000B765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110</w:t>
            </w:r>
          </w:p>
        </w:tc>
        <w:tc>
          <w:tcPr>
            <w:tcW w:w="904"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97.3</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111</w:t>
            </w:r>
          </w:p>
        </w:tc>
        <w:tc>
          <w:tcPr>
            <w:tcW w:w="99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98.2</w:t>
            </w:r>
          </w:p>
        </w:tc>
        <w:tc>
          <w:tcPr>
            <w:tcW w:w="992"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2</w:t>
            </w:r>
          </w:p>
        </w:tc>
        <w:tc>
          <w:tcPr>
            <w:tcW w:w="940" w:type="dxa"/>
            <w:tcBorders>
              <w:top w:val="single" w:sz="4" w:space="0" w:color="808080" w:themeColor="background1" w:themeShade="80"/>
            </w:tcBorders>
            <w:vAlign w:val="center"/>
          </w:tcPr>
          <w:p w:rsidR="000B7657" w:rsidRDefault="005F5E3F" w:rsidP="002E7263">
            <w:pPr>
              <w:jc w:val="right"/>
              <w:rPr>
                <w:rFonts w:asciiTheme="minorHAnsi" w:hAnsiTheme="minorHAnsi"/>
                <w:b/>
                <w:sz w:val="20"/>
                <w:szCs w:val="20"/>
              </w:rPr>
            </w:pPr>
            <w:r>
              <w:rPr>
                <w:rFonts w:asciiTheme="minorHAnsi" w:hAnsiTheme="minorHAnsi"/>
                <w:b/>
                <w:sz w:val="20"/>
                <w:szCs w:val="20"/>
              </w:rPr>
              <w:t>1.8</w:t>
            </w:r>
          </w:p>
        </w:tc>
      </w:tr>
    </w:tbl>
    <w:p w:rsidR="000B7657" w:rsidRDefault="00AB5271" w:rsidP="00ED3BDC">
      <w:pPr>
        <w:rPr>
          <w:rFonts w:asciiTheme="minorHAnsi" w:hAnsiTheme="minorHAnsi"/>
          <w:sz w:val="18"/>
          <w:szCs w:val="18"/>
        </w:rPr>
      </w:pPr>
      <w:r>
        <w:rPr>
          <w:rFonts w:asciiTheme="minorHAnsi" w:hAnsiTheme="minorHAnsi"/>
          <w:sz w:val="18"/>
          <w:szCs w:val="18"/>
        </w:rPr>
        <w:t xml:space="preserve">Note: the class “At least sufficient” also includes bathing waters which are of excellent </w:t>
      </w:r>
      <w:proofErr w:type="gramStart"/>
      <w:r>
        <w:rPr>
          <w:rFonts w:asciiTheme="minorHAnsi" w:hAnsiTheme="minorHAnsi"/>
          <w:sz w:val="18"/>
          <w:szCs w:val="18"/>
        </w:rPr>
        <w:t>quality,</w:t>
      </w:r>
      <w:proofErr w:type="gramEnd"/>
      <w:r>
        <w:rPr>
          <w:rFonts w:asciiTheme="minorHAnsi" w:hAnsiTheme="minorHAnsi"/>
          <w:sz w:val="18"/>
          <w:szCs w:val="18"/>
        </w:rPr>
        <w:t xml:space="preserve"> the sum of shares is therefore not 100%.</w:t>
      </w:r>
    </w:p>
    <w:p w:rsidR="000B7657" w:rsidRDefault="002B438D" w:rsidP="00ED3BDC">
      <w:r>
        <w:br w:type="page"/>
      </w:r>
    </w:p>
    <w:p w:rsidR="000B7657" w:rsidRDefault="002B438D" w:rsidP="00ED3BDC">
      <w:pPr>
        <w:rPr>
          <w:b/>
          <w:sz w:val="28"/>
        </w:rPr>
      </w:pPr>
      <w:r>
        <w:rPr>
          <w:b/>
          <w:sz w:val="28"/>
        </w:rPr>
        <w:lastRenderedPageBreak/>
        <w:t>Appendix 2: Bathing water quality map</w:t>
      </w:r>
    </w:p>
    <w:p w:rsidR="000B7657" w:rsidRDefault="000B7657" w:rsidP="00ED3BDC"/>
    <w:p w:rsidR="000B7657" w:rsidRDefault="0024023B" w:rsidP="00ED3BDC">
      <w:r>
        <w:rPr>
          <w:noProof/>
          <w:lang w:eastAsia="en-GB"/>
        </w:rPr>
        <w:drawing>
          <wp:inline distT="0" distB="0" distL="0" distR="0">
            <wp:extent cx="6188710" cy="8008919"/>
            <wp:effectExtent l="0" t="0" r="2540" b="0"/>
            <wp:docPr id="3" name="Picture 3" descr="D:\Projekti\BWD\BWD 2017\National reports\GIS\map\NationalReports\PNG\20180420\CY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CY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0B7657"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DB" w:rsidRDefault="001E10DB" w:rsidP="00ED3BDC">
      <w:r>
        <w:separator/>
      </w:r>
    </w:p>
  </w:endnote>
  <w:endnote w:type="continuationSeparator" w:id="0">
    <w:p w:rsidR="001E10DB" w:rsidRDefault="001E10DB" w:rsidP="00ED3BDC">
      <w:r>
        <w:continuationSeparator/>
      </w:r>
    </w:p>
  </w:endnote>
  <w:endnote w:type="continuationNotice" w:id="1">
    <w:p w:rsidR="001E10DB" w:rsidRDefault="001E10DB"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0B7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0B7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0B7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DB" w:rsidRDefault="001E10DB" w:rsidP="00ED3BDC">
      <w:r>
        <w:separator/>
      </w:r>
    </w:p>
  </w:footnote>
  <w:footnote w:type="continuationSeparator" w:id="0">
    <w:p w:rsidR="001E10DB" w:rsidRDefault="001E10DB" w:rsidP="00ED3BDC">
      <w:r>
        <w:continuationSeparator/>
      </w:r>
    </w:p>
  </w:footnote>
  <w:footnote w:type="continuationNotice" w:id="1">
    <w:p w:rsidR="001E10DB" w:rsidRDefault="001E10DB"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w:t>
      </w:r>
      <w:r w:rsidRPr="004349A7">
        <w:rPr>
          <w:lang w:val="sl-SI"/>
        </w:rPr>
        <w:t>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w:t>
      </w:r>
      <w:r w:rsidRPr="004349A7">
        <w:rPr>
          <w:lang w:val="sl-SI"/>
        </w:rPr>
        <w:t>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0B7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0B7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7"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B7657"/>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E10DB"/>
    <w:rsid w:val="001F33BA"/>
    <w:rsid w:val="00200316"/>
    <w:rsid w:val="00204A0D"/>
    <w:rsid w:val="002101CA"/>
    <w:rsid w:val="00210869"/>
    <w:rsid w:val="00212BC0"/>
    <w:rsid w:val="002318DD"/>
    <w:rsid w:val="00235D1F"/>
    <w:rsid w:val="0024023B"/>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67F04"/>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oa.gov.cy/moa/environment/environmentnew.nsf/All/9E7057F0FB6B8067C2257F6200327E0D?OpenDocu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a.gov.cy/environment"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oa.gov.cy/moa/environment/environmentnew.nsf/All/9E7057F0FB6B8067C2257F6200327E0D?OpenDocument"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0.81</c:v>
                </c:pt>
                <c:pt idx="1">
                  <c:v>1</c:v>
                </c:pt>
                <c:pt idx="2">
                  <c:v>0.99</c:v>
                </c:pt>
                <c:pt idx="3">
                  <c:v>0.99</c:v>
                </c:pt>
                <c:pt idx="4">
                  <c:v>0.98199999999999998</c:v>
                </c:pt>
                <c:pt idx="5">
                  <c:v>0.99099999999999999</c:v>
                </c:pt>
                <c:pt idx="6">
                  <c:v>1</c:v>
                </c:pt>
                <c:pt idx="7">
                  <c:v>0.99109999999999998</c:v>
                </c:pt>
                <c:pt idx="8">
                  <c:v>1</c:v>
                </c:pt>
                <c:pt idx="9">
                  <c:v>1</c:v>
                </c:pt>
                <c:pt idx="10">
                  <c:v>1</c:v>
                </c:pt>
                <c:pt idx="11">
                  <c:v>0.99119999999999997</c:v>
                </c:pt>
                <c:pt idx="12">
                  <c:v>0.99119999999999997</c:v>
                </c:pt>
                <c:pt idx="13">
                  <c:v>0.97350000000000003</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0.86</c:v>
                </c:pt>
                <c:pt idx="1">
                  <c:v>1</c:v>
                </c:pt>
                <c:pt idx="2">
                  <c:v>0.99</c:v>
                </c:pt>
                <c:pt idx="3">
                  <c:v>0.99</c:v>
                </c:pt>
                <c:pt idx="4">
                  <c:v>1</c:v>
                </c:pt>
                <c:pt idx="5">
                  <c:v>1</c:v>
                </c:pt>
                <c:pt idx="6">
                  <c:v>1</c:v>
                </c:pt>
                <c:pt idx="7">
                  <c:v>0.99109999999999998</c:v>
                </c:pt>
                <c:pt idx="8">
                  <c:v>1</c:v>
                </c:pt>
                <c:pt idx="9">
                  <c:v>1</c:v>
                </c:pt>
                <c:pt idx="10">
                  <c:v>1</c:v>
                </c:pt>
                <c:pt idx="11">
                  <c:v>0.99119999999999997</c:v>
                </c:pt>
                <c:pt idx="12">
                  <c:v>0.99119999999999997</c:v>
                </c:pt>
                <c:pt idx="13">
                  <c:v>0.98229999999999995</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0.05</c:v>
                </c:pt>
                <c:pt idx="1">
                  <c:v>0</c:v>
                </c:pt>
                <c:pt idx="2">
                  <c:v>0.01</c:v>
                </c:pt>
                <c:pt idx="3">
                  <c:v>0.01</c:v>
                </c:pt>
                <c:pt idx="4">
                  <c:v>0</c:v>
                </c:pt>
                <c:pt idx="5">
                  <c:v>0</c:v>
                </c:pt>
                <c:pt idx="6">
                  <c:v>0</c:v>
                </c:pt>
                <c:pt idx="7">
                  <c:v>0</c:v>
                </c:pt>
                <c:pt idx="8">
                  <c:v>0</c:v>
                </c:pt>
                <c:pt idx="9">
                  <c:v>0</c:v>
                </c:pt>
                <c:pt idx="10">
                  <c:v>0</c:v>
                </c:pt>
                <c:pt idx="11">
                  <c:v>0</c:v>
                </c:pt>
                <c:pt idx="12">
                  <c:v>0</c:v>
                </c:pt>
                <c:pt idx="13">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0.09</c:v>
                </c:pt>
                <c:pt idx="1">
                  <c:v>0</c:v>
                </c:pt>
                <c:pt idx="2">
                  <c:v>0</c:v>
                </c:pt>
                <c:pt idx="3">
                  <c:v>0</c:v>
                </c:pt>
                <c:pt idx="4">
                  <c:v>0</c:v>
                </c:pt>
                <c:pt idx="5">
                  <c:v>0</c:v>
                </c:pt>
                <c:pt idx="6">
                  <c:v>0</c:v>
                </c:pt>
                <c:pt idx="7">
                  <c:v>8.8999999999999999E-3</c:v>
                </c:pt>
                <c:pt idx="8">
                  <c:v>0</c:v>
                </c:pt>
                <c:pt idx="9">
                  <c:v>0</c:v>
                </c:pt>
                <c:pt idx="10">
                  <c:v>0</c:v>
                </c:pt>
                <c:pt idx="11">
                  <c:v>8.8000000000000005E-3</c:v>
                </c:pt>
                <c:pt idx="12">
                  <c:v>8.8000000000000005E-3</c:v>
                </c:pt>
                <c:pt idx="13">
                  <c:v>1.77E-2</c:v>
                </c:pt>
              </c:numCache>
            </c:numRef>
          </c:val>
          <c:smooth val="0"/>
        </c:ser>
        <c:dLbls>
          <c:showLegendKey val="0"/>
          <c:showVal val="0"/>
          <c:showCatName val="0"/>
          <c:showSerName val="0"/>
          <c:showPercent val="0"/>
          <c:showBubbleSize val="0"/>
        </c:dLbls>
        <c:marker val="1"/>
        <c:smooth val="0"/>
        <c:axId val="210910592"/>
        <c:axId val="219592576"/>
      </c:lineChart>
      <c:catAx>
        <c:axId val="210910592"/>
        <c:scaling>
          <c:orientation val="minMax"/>
        </c:scaling>
        <c:delete val="0"/>
        <c:axPos val="b"/>
        <c:numFmt formatCode="@" sourceLinked="0"/>
        <c:majorTickMark val="out"/>
        <c:minorTickMark val="none"/>
        <c:tickLblPos val="nextTo"/>
        <c:crossAx val="219592576"/>
        <c:crosses val="autoZero"/>
        <c:auto val="1"/>
        <c:lblAlgn val="ctr"/>
        <c:lblOffset val="100"/>
        <c:noMultiLvlLbl val="0"/>
      </c:catAx>
      <c:valAx>
        <c:axId val="21959257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10910592"/>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7C36-D5D0-474B-A485-B021F0E0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3050</TotalTime>
  <Pages>7</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229</cp:revision>
  <dcterms:created xsi:type="dcterms:W3CDTF">2014-04-16T13:17:00Z</dcterms:created>
  <dcterms:modified xsi:type="dcterms:W3CDTF">2018-04-25T14:50:00Z</dcterms:modified>
</cp:coreProperties>
</file>