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63" w:rsidRDefault="00106B63" w:rsidP="00ED3BDC"/>
    <w:p w:rsidR="00106B63" w:rsidRDefault="00E95009" w:rsidP="00B67D96">
      <w:pPr>
        <w:jc w:val="center"/>
        <w:rPr>
          <w:rFonts w:cs="Arial"/>
          <w:b/>
          <w:bCs/>
          <w:sz w:val="32"/>
        </w:rPr>
      </w:pPr>
      <w:r>
        <w:rPr>
          <w:b/>
          <w:sz w:val="32"/>
        </w:rPr>
        <w:t xml:space="preserve">BWD Report For the Bathing Season </w:t>
      </w:r>
      <w:r>
        <w:rPr>
          <w:rFonts w:cs="Arial"/>
          <w:b/>
          <w:bCs/>
          <w:sz w:val="32"/>
        </w:rPr>
        <w:t>2017</w:t>
      </w:r>
    </w:p>
    <w:p w:rsidR="00106B63" w:rsidRDefault="0079462E" w:rsidP="00B67D96">
      <w:pPr>
        <w:jc w:val="center"/>
        <w:rPr>
          <w:b/>
          <w:sz w:val="40"/>
        </w:rPr>
      </w:pPr>
      <w:r>
        <w:rPr>
          <w:b/>
          <w:sz w:val="40"/>
        </w:rPr>
        <w:t>Bulgaria</w:t>
      </w:r>
    </w:p>
    <w:p w:rsidR="00106B63" w:rsidRDefault="00106B63" w:rsidP="00ED3BDC"/>
    <w:p w:rsidR="00106B63" w:rsidRDefault="00106B63" w:rsidP="00ED3BDC"/>
    <w:p w:rsidR="00106B63"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Bulgaria.</w:t>
      </w:r>
    </w:p>
    <w:p w:rsidR="00106B63" w:rsidRDefault="00106B63" w:rsidP="00ED3BDC"/>
    <w:p w:rsidR="00106B63" w:rsidRDefault="00106B63" w:rsidP="00ED3BDC"/>
    <w:p w:rsidR="00106B63" w:rsidRDefault="0079462E" w:rsidP="00ED3BDC">
      <w:pPr>
        <w:pStyle w:val="Heading1"/>
      </w:pPr>
      <w:r>
        <w:t xml:space="preserve">BWD reporting in the season </w:t>
      </w:r>
      <w:r>
        <w:rPr>
          <w:szCs w:val="28"/>
        </w:rPr>
        <w:t>2017</w:t>
      </w:r>
    </w:p>
    <w:p w:rsidR="00106B63" w:rsidRDefault="00106B63" w:rsidP="00ED3BDC"/>
    <w:p w:rsidR="00106B63"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106B63" w:rsidRDefault="0079462E" w:rsidP="00442644">
                            <w:pPr>
                              <w:jc w:val="center"/>
                              <w:rPr>
                                <w:rFonts w:asciiTheme="minorHAnsi" w:hAnsiTheme="minorHAnsi"/>
                                <w:b/>
                              </w:rPr>
                            </w:pPr>
                            <w:r>
                              <w:rPr>
                                <w:rFonts w:asciiTheme="minorHAnsi" w:hAnsiTheme="minorHAnsi"/>
                                <w:b/>
                              </w:rPr>
                              <w:t>Bathing waters of Bulgaria in 2017</w:t>
                            </w:r>
                          </w:p>
                          <w:p w:rsidR="00106B63" w:rsidRDefault="00106B63" w:rsidP="00ED3BDC">
                            <w:pPr>
                              <w:rPr>
                                <w:rFonts w:asciiTheme="minorHAnsi" w:hAnsiTheme="minorHAnsi"/>
                                <w:sz w:val="20"/>
                              </w:rPr>
                            </w:pPr>
                          </w:p>
                          <w:p w:rsidR="00106B63"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95</w:t>
                            </w:r>
                          </w:p>
                          <w:p w:rsidR="00106B6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91</w:t>
                            </w:r>
                          </w:p>
                          <w:p w:rsidR="00106B63"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4</w:t>
                            </w:r>
                          </w:p>
                          <w:p w:rsidR="00106B63" w:rsidRDefault="00106B63" w:rsidP="00DB3D3B">
                            <w:pPr>
                              <w:tabs>
                                <w:tab w:val="right" w:pos="3544"/>
                              </w:tabs>
                              <w:rPr>
                                <w:rFonts w:asciiTheme="minorHAnsi" w:hAnsiTheme="minorHAnsi"/>
                                <w:sz w:val="20"/>
                              </w:rPr>
                            </w:pPr>
                          </w:p>
                          <w:p w:rsidR="00106B63"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92 / 139 days</w:t>
                            </w:r>
                          </w:p>
                          <w:p w:rsidR="00106B6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15 May to 30 Sep</w:t>
                            </w:r>
                          </w:p>
                          <w:p w:rsidR="00106B63"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 Jun to 31 Aug</w:t>
                            </w:r>
                          </w:p>
                          <w:p w:rsidR="00106B63" w:rsidRDefault="00106B63" w:rsidP="00ED3BDC">
                            <w:pPr>
                              <w:rPr>
                                <w:rFonts w:asciiTheme="minorHAnsi" w:hAnsiTheme="minorHAnsi"/>
                                <w:sz w:val="20"/>
                              </w:rPr>
                            </w:pPr>
                          </w:p>
                          <w:p w:rsidR="00106B63"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830</w:t>
                            </w:r>
                          </w:p>
                          <w:p w:rsidR="00106B63" w:rsidRDefault="00106B63" w:rsidP="00ED3BDC">
                            <w:pPr>
                              <w:rPr>
                                <w:rFonts w:asciiTheme="minorHAnsi" w:hAnsiTheme="minorHAnsi"/>
                                <w:sz w:val="20"/>
                              </w:rPr>
                            </w:pPr>
                          </w:p>
                          <w:p w:rsidR="00106B63"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92 %</w:t>
                            </w:r>
                          </w:p>
                          <w:p w:rsidR="00106B63" w:rsidRDefault="0079462E" w:rsidP="00ED3BDC">
                            <w:pPr>
                              <w:rPr>
                                <w:rFonts w:asciiTheme="minorHAnsi" w:hAnsiTheme="minorHAnsi"/>
                                <w:b/>
                                <w:sz w:val="20"/>
                              </w:rPr>
                            </w:pPr>
                            <w:r>
                              <w:rPr>
                                <w:rFonts w:asciiTheme="minorHAnsi" w:hAnsiTheme="minorHAnsi"/>
                                <w:b/>
                                <w:sz w:val="20"/>
                              </w:rPr>
                              <w:t xml:space="preserve">with good or excellent </w:t>
                            </w:r>
                          </w:p>
                          <w:p w:rsidR="00106B63" w:rsidRDefault="0079462E" w:rsidP="00ED3BDC">
                            <w:pPr>
                              <w:rPr>
                                <w:rFonts w:asciiTheme="minorHAnsi" w:hAnsiTheme="minorHAnsi"/>
                                <w:b/>
                                <w:sz w:val="20"/>
                              </w:rPr>
                            </w:pPr>
                            <w:r>
                              <w:rPr>
                                <w:rFonts w:asciiTheme="minorHAnsi" w:hAnsiTheme="minorHAnsi"/>
                                <w:b/>
                                <w:sz w:val="20"/>
                              </w:rPr>
                              <w:t>water quality</w:t>
                            </w:r>
                          </w:p>
                          <w:p w:rsidR="00106B63" w:rsidRDefault="00106B63" w:rsidP="00ED3BDC">
                            <w:pPr>
                              <w:rPr>
                                <w:rFonts w:asciiTheme="minorHAnsi" w:hAnsiTheme="minorHAnsi"/>
                                <w:sz w:val="20"/>
                              </w:rPr>
                            </w:pPr>
                          </w:p>
                          <w:p w:rsidR="00106B63"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2011</w:t>
                            </w:r>
                          </w:p>
                          <w:p w:rsidR="00106B63"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Bulgaria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95</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91</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4</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92 / 139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15 May to 30 Sep</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 Jun to 31 Aug</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830</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92 %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2011</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95 bathing waters have been reported in Bulgaria. For each bathing water, five groups of parameters have been delivered</w:t>
      </w:r>
      <w:r>
        <w:rPr>
          <w:rStyle w:val="FootnoteReference"/>
        </w:rPr>
        <w:footnoteReference w:id="3"/>
      </w:r>
      <w:r>
        <w:t>:</w:t>
      </w:r>
    </w:p>
    <w:p w:rsidR="00106B6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106B6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106B6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106B63"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106B6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106B63" w:rsidRDefault="00106B63" w:rsidP="00ED3BDC"/>
    <w:p w:rsidR="00106B63" w:rsidRDefault="0079462E" w:rsidP="00ED3BDC">
      <w:r>
        <w:t xml:space="preserve">The authorities of </w:t>
      </w:r>
      <w:r>
        <w:rPr>
          <w:rFonts w:ascii="Cambria" w:hAnsi="Cambria"/>
        </w:rPr>
        <w:t>Bulgaria</w:t>
      </w:r>
      <w:r>
        <w:t xml:space="preserve"> report data according to the new BWD (2006/7/EC) since the season </w:t>
      </w:r>
      <w:r>
        <w:rPr>
          <w:rFonts w:ascii="Cambria" w:hAnsi="Cambria"/>
        </w:rPr>
        <w:t>2011</w:t>
      </w:r>
      <w:r>
        <w:t>.</w:t>
      </w:r>
    </w:p>
    <w:p w:rsidR="00106B63" w:rsidRDefault="00106B63" w:rsidP="00ED3BDC"/>
    <w:p w:rsidR="00106B63" w:rsidRDefault="0079462E" w:rsidP="00ED3BDC">
      <w:r>
        <w:t xml:space="preserve">Altogether, </w:t>
      </w:r>
      <w:r>
        <w:rPr>
          <w:rFonts w:ascii="Cambria" w:hAnsi="Cambria"/>
          <w:b/>
        </w:rPr>
        <w:t>95</w:t>
      </w:r>
      <w:r>
        <w:rPr>
          <w:rFonts w:ascii="Cambria" w:hAnsi="Cambria"/>
        </w:rPr>
        <w:t xml:space="preserve"> </w:t>
      </w:r>
      <w:r>
        <w:rPr>
          <w:b/>
        </w:rPr>
        <w:t xml:space="preserve">bathing waters </w:t>
      </w:r>
      <w:r>
        <w:t xml:space="preserve">have been reported – 0.4% of all bathing waters in Europe. </w:t>
      </w:r>
      <w:proofErr w:type="gramStart"/>
      <w:r w:rsidR="009F7512">
        <w:t>One bathing water</w:t>
      </w:r>
      <w:proofErr w:type="gramEnd"/>
      <w:r w:rsidR="009F7512">
        <w:t xml:space="preserve"> has </w:t>
      </w:r>
      <w:r>
        <w:t xml:space="preserve">been newly </w:t>
      </w:r>
      <w:r w:rsidR="009F7512">
        <w:t>reported</w:t>
      </w:r>
      <w:r>
        <w:t xml:space="preserve"> in the recent season. 96% of bathing waters in Bulgaria are of coastal type; the other 4% are inland. </w:t>
      </w:r>
      <w:r>
        <w:rPr>
          <w:b/>
        </w:rPr>
        <w:t>830 samples</w:t>
      </w:r>
      <w:r>
        <w:t xml:space="preserve"> were taken at bathing waters throughout the season – 9 per bathing water on average.</w:t>
      </w:r>
    </w:p>
    <w:p w:rsidR="00106B63" w:rsidRDefault="00106B63" w:rsidP="00ED3BDC"/>
    <w:p w:rsidR="00106B63" w:rsidRDefault="002B438D" w:rsidP="00ED3BDC">
      <w:r>
        <w:lastRenderedPageBreak/>
        <w:t>The maximum bathing season period was from 15 May to 30 September for coastal bathing waters, i.e. 139 days altogether.</w:t>
      </w:r>
      <w:r w:rsidR="00941B43">
        <w:t xml:space="preserve"> </w:t>
      </w:r>
      <w:r w:rsidR="00E61218">
        <w:t>Maximum inland bathing season period was from 1 June to 31 August, i.e. 92 days.</w:t>
      </w:r>
      <w:r w:rsidR="00941B43">
        <w:t xml:space="preserve"> </w:t>
      </w:r>
      <w:r w:rsidR="00E61218">
        <w:t xml:space="preserve">Season duration varies </w:t>
      </w:r>
      <w:r w:rsidR="00941B43">
        <w:t>depending on the bathing waters.</w:t>
      </w:r>
    </w:p>
    <w:p w:rsidR="00106B63" w:rsidRDefault="00106B63" w:rsidP="00ED3BDC"/>
    <w:p w:rsidR="00106B63" w:rsidRDefault="002B438D" w:rsidP="00ED3BDC">
      <w:r>
        <w:t xml:space="preserve">Detailed information on bathing waters is available from national portal at </w:t>
      </w:r>
      <w:hyperlink r:id="rId9" w:history="1">
        <w:r w:rsidR="00941B43" w:rsidRPr="003F4ABB">
          <w:rPr>
            <w:rStyle w:val="Hyperlink"/>
          </w:rPr>
          <w:t>http://www.mh.government.bg/bg/administrativni-uslugi/registri/</w:t>
        </w:r>
      </w:hyperlink>
      <w:r>
        <w:t>.</w:t>
      </w:r>
    </w:p>
    <w:p w:rsidR="00106B63" w:rsidRDefault="00106B63" w:rsidP="00ED3BDC"/>
    <w:p w:rsidR="00106B63" w:rsidRDefault="00106B63" w:rsidP="00ED3BDC"/>
    <w:p w:rsidR="00106B63" w:rsidRDefault="002B438D" w:rsidP="00ED3BDC">
      <w:pPr>
        <w:pStyle w:val="Heading1"/>
      </w:pPr>
      <w:r>
        <w:t>Assessment methodology</w:t>
      </w:r>
      <w:r>
        <w:rPr>
          <w:rStyle w:val="FootnoteReference"/>
        </w:rPr>
        <w:footnoteReference w:id="4"/>
      </w:r>
    </w:p>
    <w:p w:rsidR="00106B63" w:rsidRDefault="00106B63" w:rsidP="00ED3BDC"/>
    <w:p w:rsidR="00106B63"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106B63" w:rsidRDefault="00106B63" w:rsidP="00ED3BDC"/>
    <w:p w:rsidR="00106B63" w:rsidRDefault="003F038E" w:rsidP="00ED3BDC">
      <w:r>
        <w:t>The monitoring requirements under the Directive are:</w:t>
      </w:r>
    </w:p>
    <w:p w:rsidR="00106B6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106B6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106B63"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106B63" w:rsidRDefault="00106B63" w:rsidP="00ED3BDC"/>
    <w:p w:rsidR="00106B63" w:rsidRDefault="003F038E" w:rsidP="003F038E">
      <w:r>
        <w:t xml:space="preserve">If these rules are satisfied, the bathing water is categorised as 'sampling frequency satisfied'. If not all monitoring requirements are fulfilled the bathing water is categorised as 'not enough samples'. 97.9%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106B63" w:rsidRDefault="00106B63" w:rsidP="00ED3BDC"/>
    <w:p w:rsidR="00106B63"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106B63" w:rsidTr="00484359">
        <w:trPr>
          <w:trHeight w:val="343"/>
        </w:trPr>
        <w:tc>
          <w:tcPr>
            <w:tcW w:w="6379" w:type="dxa"/>
            <w:shd w:val="clear" w:color="auto" w:fill="F2F2F2" w:themeFill="background1" w:themeFillShade="F2"/>
            <w:vAlign w:val="center"/>
          </w:tcPr>
          <w:p w:rsidR="00106B63" w:rsidRDefault="00106B63" w:rsidP="00484359">
            <w:pPr>
              <w:jc w:val="left"/>
              <w:rPr>
                <w:rFonts w:asciiTheme="minorHAnsi" w:hAnsiTheme="minorHAnsi"/>
                <w:b/>
                <w:sz w:val="20"/>
              </w:rPr>
            </w:pPr>
          </w:p>
        </w:tc>
        <w:tc>
          <w:tcPr>
            <w:tcW w:w="1701" w:type="dxa"/>
            <w:shd w:val="clear" w:color="auto" w:fill="F2F2F2" w:themeFill="background1" w:themeFillShade="F2"/>
            <w:vAlign w:val="center"/>
          </w:tcPr>
          <w:p w:rsidR="00106B63"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106B63" w:rsidRDefault="00484359" w:rsidP="00484359">
            <w:pPr>
              <w:jc w:val="left"/>
              <w:rPr>
                <w:rFonts w:asciiTheme="minorHAnsi" w:hAnsiTheme="minorHAnsi"/>
                <w:b/>
                <w:sz w:val="20"/>
              </w:rPr>
            </w:pPr>
            <w:r>
              <w:rPr>
                <w:rFonts w:asciiTheme="minorHAnsi" w:hAnsiTheme="minorHAnsi"/>
                <w:b/>
                <w:sz w:val="20"/>
              </w:rPr>
              <w:t>Share of total [%]</w:t>
            </w:r>
          </w:p>
        </w:tc>
      </w:tr>
      <w:tr w:rsidR="00106B63" w:rsidTr="00484359">
        <w:tc>
          <w:tcPr>
            <w:tcW w:w="6379" w:type="dxa"/>
          </w:tcPr>
          <w:p w:rsidR="00106B6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106B63"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106B63" w:rsidRDefault="006D2330" w:rsidP="00B14C10">
            <w:pPr>
              <w:jc w:val="right"/>
              <w:rPr>
                <w:rFonts w:asciiTheme="minorHAnsi" w:hAnsiTheme="minorHAnsi"/>
                <w:sz w:val="20"/>
              </w:rPr>
            </w:pPr>
            <w:r>
              <w:rPr>
                <w:rFonts w:asciiTheme="minorHAnsi" w:hAnsiTheme="minorHAnsi"/>
                <w:sz w:val="20"/>
              </w:rPr>
              <w:t>93</w:t>
            </w:r>
          </w:p>
        </w:tc>
        <w:tc>
          <w:tcPr>
            <w:tcW w:w="1701" w:type="dxa"/>
            <w:vAlign w:val="center"/>
          </w:tcPr>
          <w:p w:rsidR="00106B63" w:rsidRDefault="004D61EC" w:rsidP="00B14C10">
            <w:pPr>
              <w:jc w:val="right"/>
              <w:rPr>
                <w:rFonts w:asciiTheme="minorHAnsi" w:hAnsiTheme="minorHAnsi"/>
                <w:b/>
                <w:sz w:val="20"/>
              </w:rPr>
            </w:pPr>
            <w:r>
              <w:rPr>
                <w:rFonts w:asciiTheme="minorHAnsi" w:hAnsiTheme="minorHAnsi"/>
                <w:sz w:val="20"/>
              </w:rPr>
              <w:t>97.9%</w:t>
            </w:r>
          </w:p>
        </w:tc>
      </w:tr>
      <w:tr w:rsidR="00106B63" w:rsidTr="00484359">
        <w:tc>
          <w:tcPr>
            <w:tcW w:w="6379" w:type="dxa"/>
          </w:tcPr>
          <w:p w:rsidR="00106B6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106B63"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106B63" w:rsidRDefault="006710BD" w:rsidP="00B14C10">
            <w:pPr>
              <w:jc w:val="right"/>
              <w:rPr>
                <w:rFonts w:asciiTheme="minorHAnsi" w:hAnsiTheme="minorHAnsi"/>
                <w:b/>
                <w:sz w:val="20"/>
              </w:rPr>
            </w:pPr>
            <w:r>
              <w:rPr>
                <w:rFonts w:asciiTheme="minorHAnsi" w:hAnsiTheme="minorHAnsi"/>
                <w:sz w:val="20"/>
              </w:rPr>
              <w:lastRenderedPageBreak/>
              <w:t>1</w:t>
            </w:r>
          </w:p>
        </w:tc>
        <w:tc>
          <w:tcPr>
            <w:tcW w:w="1701" w:type="dxa"/>
            <w:vAlign w:val="center"/>
          </w:tcPr>
          <w:p w:rsidR="00106B63" w:rsidRDefault="004D61EC" w:rsidP="00484359">
            <w:pPr>
              <w:jc w:val="right"/>
              <w:rPr>
                <w:rFonts w:asciiTheme="minorHAnsi" w:hAnsiTheme="minorHAnsi"/>
                <w:b/>
                <w:sz w:val="20"/>
              </w:rPr>
            </w:pPr>
            <w:r>
              <w:rPr>
                <w:rFonts w:asciiTheme="minorHAnsi" w:hAnsiTheme="minorHAnsi"/>
                <w:sz w:val="20"/>
              </w:rPr>
              <w:t>1.1%</w:t>
            </w:r>
          </w:p>
        </w:tc>
      </w:tr>
      <w:tr w:rsidR="00106B63" w:rsidTr="00484359">
        <w:tc>
          <w:tcPr>
            <w:tcW w:w="6379" w:type="dxa"/>
          </w:tcPr>
          <w:p w:rsidR="00106B63"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106B63"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106B63" w:rsidRDefault="006710BD" w:rsidP="00B14C10">
            <w:pPr>
              <w:jc w:val="right"/>
              <w:rPr>
                <w:rFonts w:asciiTheme="minorHAnsi" w:hAnsiTheme="minorHAnsi"/>
                <w:b/>
                <w:sz w:val="20"/>
              </w:rPr>
            </w:pPr>
            <w:r>
              <w:rPr>
                <w:rFonts w:asciiTheme="minorHAnsi" w:hAnsiTheme="minorHAnsi"/>
                <w:sz w:val="20"/>
              </w:rPr>
              <w:t>1</w:t>
            </w:r>
          </w:p>
        </w:tc>
        <w:tc>
          <w:tcPr>
            <w:tcW w:w="1701" w:type="dxa"/>
            <w:vAlign w:val="center"/>
          </w:tcPr>
          <w:p w:rsidR="00106B63" w:rsidRDefault="004D61EC" w:rsidP="00B14C10">
            <w:pPr>
              <w:jc w:val="right"/>
              <w:rPr>
                <w:rFonts w:asciiTheme="minorHAnsi" w:hAnsiTheme="minorHAnsi"/>
                <w:b/>
                <w:sz w:val="20"/>
              </w:rPr>
            </w:pPr>
            <w:r>
              <w:rPr>
                <w:rFonts w:asciiTheme="minorHAnsi" w:hAnsiTheme="minorHAnsi"/>
                <w:sz w:val="20"/>
              </w:rPr>
              <w:t>1.1%</w:t>
            </w:r>
          </w:p>
        </w:tc>
      </w:tr>
      <w:tr w:rsidR="00106B63" w:rsidTr="00484359">
        <w:trPr>
          <w:trHeight w:val="323"/>
        </w:trPr>
        <w:tc>
          <w:tcPr>
            <w:tcW w:w="6379" w:type="dxa"/>
            <w:shd w:val="clear" w:color="auto" w:fill="F2F2F2" w:themeFill="background1" w:themeFillShade="F2"/>
            <w:vAlign w:val="center"/>
          </w:tcPr>
          <w:p w:rsidR="00106B63"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106B63" w:rsidRDefault="00993FEC" w:rsidP="00484359">
            <w:pPr>
              <w:jc w:val="right"/>
              <w:rPr>
                <w:rFonts w:asciiTheme="minorHAnsi" w:hAnsiTheme="minorHAnsi"/>
                <w:b/>
                <w:sz w:val="20"/>
              </w:rPr>
            </w:pPr>
            <w:r>
              <w:rPr>
                <w:rFonts w:asciiTheme="minorHAnsi" w:hAnsiTheme="minorHAnsi"/>
                <w:b/>
                <w:sz w:val="20"/>
              </w:rPr>
              <w:t>95</w:t>
            </w:r>
          </w:p>
        </w:tc>
        <w:tc>
          <w:tcPr>
            <w:tcW w:w="1701" w:type="dxa"/>
            <w:shd w:val="clear" w:color="auto" w:fill="F2F2F2" w:themeFill="background1" w:themeFillShade="F2"/>
            <w:vAlign w:val="center"/>
          </w:tcPr>
          <w:p w:rsidR="00106B63" w:rsidRDefault="004943BD" w:rsidP="004943BD">
            <w:pPr>
              <w:jc w:val="right"/>
              <w:rPr>
                <w:rFonts w:asciiTheme="minorHAnsi" w:hAnsiTheme="minorHAnsi"/>
                <w:b/>
                <w:sz w:val="20"/>
              </w:rPr>
            </w:pPr>
            <w:r>
              <w:rPr>
                <w:rFonts w:asciiTheme="minorHAnsi" w:hAnsiTheme="minorHAnsi"/>
                <w:b/>
                <w:sz w:val="20"/>
              </w:rPr>
              <w:t>100%</w:t>
            </w:r>
          </w:p>
        </w:tc>
      </w:tr>
    </w:tbl>
    <w:p w:rsidR="00106B63" w:rsidRDefault="00106B63" w:rsidP="00ED3BDC"/>
    <w:p w:rsidR="00106B63"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106B63" w:rsidRDefault="00106B63" w:rsidP="00ED3BDC"/>
    <w:p w:rsidR="00106B63"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106B63" w:rsidRDefault="00106B63" w:rsidP="00ED3BDC"/>
    <w:p w:rsidR="00106B63" w:rsidRDefault="002F24A6" w:rsidP="002F24A6">
      <w:r>
        <w:t>Quality assessment is not possible for all bathing waters. In these cases, they are instead classified as either:</w:t>
      </w:r>
    </w:p>
    <w:p w:rsidR="00106B63" w:rsidRDefault="002F24A6" w:rsidP="002F24A6">
      <w:pPr>
        <w:ind w:firstLine="284"/>
      </w:pPr>
      <w:r>
        <w:t>• not enough samples</w:t>
      </w:r>
      <w:r>
        <w:rPr>
          <w:rStyle w:val="FootnoteReference"/>
        </w:rPr>
        <w:footnoteReference w:id="8"/>
      </w:r>
      <w:r>
        <w:t>;</w:t>
      </w:r>
    </w:p>
    <w:p w:rsidR="00106B63" w:rsidRDefault="002F24A6" w:rsidP="002F24A6">
      <w:pPr>
        <w:ind w:firstLine="284"/>
      </w:pPr>
      <w:r>
        <w:t>• new</w:t>
      </w:r>
      <w:r>
        <w:rPr>
          <w:rStyle w:val="FootnoteReference"/>
        </w:rPr>
        <w:footnoteReference w:id="9"/>
      </w:r>
      <w:r>
        <w:t>;</w:t>
      </w:r>
    </w:p>
    <w:p w:rsidR="00106B63" w:rsidRDefault="00783E42" w:rsidP="00783E42">
      <w:pPr>
        <w:ind w:firstLine="284"/>
      </w:pPr>
      <w:r>
        <w:t>• changes</w:t>
      </w:r>
      <w:r>
        <w:rPr>
          <w:rStyle w:val="FootnoteReference"/>
        </w:rPr>
        <w:footnoteReference w:id="10"/>
      </w:r>
      <w:r>
        <w:t>;</w:t>
      </w:r>
    </w:p>
    <w:p w:rsidR="00106B63" w:rsidRDefault="00783E42" w:rsidP="00783E42">
      <w:pPr>
        <w:ind w:firstLine="284"/>
      </w:pPr>
      <w:r>
        <w:t>• closed</w:t>
      </w:r>
      <w:r>
        <w:rPr>
          <w:rStyle w:val="FootnoteReference"/>
        </w:rPr>
        <w:footnoteReference w:id="11"/>
      </w:r>
      <w:r>
        <w:t>.</w:t>
      </w:r>
    </w:p>
    <w:p w:rsidR="00106B63" w:rsidRDefault="00106B63" w:rsidP="00AF3F74"/>
    <w:p w:rsidR="00106B63" w:rsidRDefault="00106B63" w:rsidP="00ED3BDC"/>
    <w:p w:rsidR="00106B63" w:rsidRDefault="002B438D" w:rsidP="00ED3BDC">
      <w:pPr>
        <w:pStyle w:val="Heading1"/>
      </w:pPr>
      <w:r>
        <w:t>Bathing water quality</w:t>
      </w:r>
    </w:p>
    <w:p w:rsidR="00106B63" w:rsidRDefault="00106B63" w:rsidP="00ED3BDC"/>
    <w:p w:rsidR="00106B63" w:rsidRDefault="002B438D" w:rsidP="00ED3BDC">
      <w:r>
        <w:t>The results of the bathing water quality in Bulgaria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106B63" w:rsidRDefault="00106B63" w:rsidP="00ED3BDC"/>
    <w:p w:rsidR="00941B43" w:rsidRDefault="00941B43" w:rsidP="00ED3BDC"/>
    <w:p w:rsidR="00941B43" w:rsidRDefault="00941B43" w:rsidP="00ED3BDC"/>
    <w:p w:rsidR="00941B43" w:rsidRDefault="00941B43" w:rsidP="00ED3BDC"/>
    <w:p w:rsidR="00941B43" w:rsidRDefault="00941B43" w:rsidP="00ED3BDC"/>
    <w:p w:rsidR="00106B63" w:rsidRDefault="002B438D" w:rsidP="00ED3BDC">
      <w:pPr>
        <w:pStyle w:val="Heading2"/>
      </w:pPr>
      <w:r>
        <w:lastRenderedPageBreak/>
        <w:t>Coastal bathing waters</w:t>
      </w:r>
    </w:p>
    <w:p w:rsidR="00106B63" w:rsidRDefault="00106B63" w:rsidP="00ED3BDC"/>
    <w:p w:rsidR="00106B63" w:rsidRDefault="002B438D" w:rsidP="00ED3BDC">
      <w:r>
        <w:t>In Bulgaria, 97.8% of all existing coastal bathing waters met at least sufficient water quality standards in 2017. S</w:t>
      </w:r>
      <w:r w:rsidR="00941B43">
        <w:t>ee Appendix 1 for numeric data.</w:t>
      </w:r>
    </w:p>
    <w:p w:rsidR="00106B63" w:rsidRDefault="00106B63" w:rsidP="00ED3BDC"/>
    <w:p w:rsidR="00106B63"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6B63"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Bulgaria. </w:t>
      </w:r>
      <w:r>
        <w:rPr>
          <w:b w:val="0"/>
        </w:rPr>
        <w:t>Note: the “At least sufficient” class also includes bathing waters of “Excellent” quality class, the sum of shares is therefore not 100%.</w:t>
      </w:r>
      <w:r>
        <w:t xml:space="preserve"> </w:t>
      </w:r>
    </w:p>
    <w:p w:rsidR="00106B63" w:rsidRDefault="00106B63" w:rsidP="00ED3BDC"/>
    <w:p w:rsidR="00106B63" w:rsidRDefault="00106B63" w:rsidP="00ED3BDC"/>
    <w:p w:rsidR="00106B63" w:rsidRDefault="002B438D" w:rsidP="00ED3BDC">
      <w:pPr>
        <w:pStyle w:val="Heading2"/>
      </w:pPr>
      <w:r>
        <w:t>Inland bathing waters</w:t>
      </w:r>
    </w:p>
    <w:p w:rsidR="00106B63" w:rsidRDefault="00106B63" w:rsidP="00ED3BDC"/>
    <w:p w:rsidR="00106B63" w:rsidRDefault="00941B43" w:rsidP="002318DD">
      <w:r>
        <w:t xml:space="preserve">All </w:t>
      </w:r>
      <w:r w:rsidR="007C239B">
        <w:t>inland bathi</w:t>
      </w:r>
      <w:bookmarkStart w:id="1" w:name="_GoBack"/>
      <w:bookmarkEnd w:id="1"/>
      <w:r w:rsidR="007C239B">
        <w:t>ng waters were of at least sufficient water quality in 2017. See Appendix 1 for numeric data.</w:t>
      </w:r>
      <w:bookmarkStart w:id="2" w:name="OLE_LINK19"/>
      <w:bookmarkStart w:id="3" w:name="OLE_LINK20"/>
      <w:r w:rsidR="007C239B">
        <w:t xml:space="preserve"> </w:t>
      </w:r>
    </w:p>
    <w:p w:rsidR="00106B63" w:rsidRDefault="00106B63" w:rsidP="002318DD"/>
    <w:p w:rsidR="00106B63" w:rsidRDefault="004349A7" w:rsidP="00164618">
      <w:pPr>
        <w:keepNext/>
        <w:jc w:val="center"/>
      </w:pPr>
      <w:r>
        <w:rPr>
          <w:noProof/>
          <w:lang w:eastAsia="en-GB"/>
        </w:rPr>
        <w:drawing>
          <wp:inline distT="0" distB="0" distL="0" distR="0" wp14:anchorId="72297D21" wp14:editId="3CB25C9E">
            <wp:extent cx="6134100" cy="2886075"/>
            <wp:effectExtent l="0" t="0" r="19050" b="9525"/>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bookmarkEnd w:id="3"/>
    <w:p w:rsidR="00106B63"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Bulgaria. </w:t>
      </w:r>
      <w:r>
        <w:rPr>
          <w:b w:val="0"/>
        </w:rPr>
        <w:t xml:space="preserve">Note: the “At least sufficient” class also includes bathing waters of “Excellent” quality </w:t>
      </w:r>
      <w:proofErr w:type="gramStart"/>
      <w:r>
        <w:rPr>
          <w:b w:val="0"/>
        </w:rPr>
        <w:t>class,</w:t>
      </w:r>
      <w:proofErr w:type="gramEnd"/>
      <w:r>
        <w:rPr>
          <w:b w:val="0"/>
        </w:rPr>
        <w:t xml:space="preserve"> the sum of shares is therefore not 100%.</w:t>
      </w:r>
      <w:r>
        <w:t xml:space="preserve"> </w:t>
      </w:r>
    </w:p>
    <w:p w:rsidR="00106B63" w:rsidRDefault="00106B63" w:rsidP="00ED3BDC">
      <w:pPr>
        <w:pStyle w:val="Caption"/>
      </w:pPr>
    </w:p>
    <w:p w:rsidR="00106B63" w:rsidRDefault="00106B63" w:rsidP="00ED3BDC"/>
    <w:p w:rsidR="00106B63" w:rsidRDefault="00106B63" w:rsidP="00ED3BDC"/>
    <w:p w:rsidR="00106B63"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106B63" w:rsidRDefault="00106B63" w:rsidP="00ED3BDC"/>
    <w:p w:rsidR="00941B43" w:rsidRDefault="00941B43" w:rsidP="00941B43">
      <w:r>
        <w:t>During 2017 bathing season 91 coastal and four freshwater bathing zones were monitored (in comparison to 2016, one coastal bathing water was added). The limited number of Bulgarian freshwater bathing waters is due to several reasons – lack of interest by the communities to establish and maintain inland bathing waters zones according to all requirements, lack of tradition in the Bulgarian population to visit such places and very strict national legislation on Water Live Saving Service which prohibits bathing in all areas where there is no such service.</w:t>
      </w:r>
    </w:p>
    <w:p w:rsidR="00941B43" w:rsidRDefault="00941B43" w:rsidP="00941B43"/>
    <w:p w:rsidR="00941B43" w:rsidRDefault="00941B43" w:rsidP="00941B43">
      <w:r>
        <w:t>The competent authorities concerning bathing water are the Ministry of Health at national level and its 28 Regional Health Inspectorates that carry out sampling and monitoring of bathing waters. The samples are analysed in the regional CA’s laboratories and the analytical methods used are relevant to the methods laid down in the Annex I of the bathing water directive.</w:t>
      </w:r>
    </w:p>
    <w:p w:rsidR="00941B43" w:rsidRDefault="00941B43" w:rsidP="00941B43"/>
    <w:p w:rsidR="00941B43" w:rsidRPr="00941B43" w:rsidRDefault="00941B43" w:rsidP="00941B43">
      <w:pPr>
        <w:rPr>
          <w:b/>
        </w:rPr>
      </w:pPr>
      <w:r w:rsidRPr="00941B43">
        <w:rPr>
          <w:b/>
        </w:rPr>
        <w:t>Information for the public</w:t>
      </w:r>
    </w:p>
    <w:p w:rsidR="00941B43" w:rsidRDefault="00941B43" w:rsidP="00941B43"/>
    <w:p w:rsidR="00941B43" w:rsidRDefault="00941B43" w:rsidP="00941B43">
      <w:r>
        <w:t xml:space="preserve">The results of bathing water quality monitoring are made public through websites of the regional </w:t>
      </w:r>
      <w:proofErr w:type="spellStart"/>
      <w:r>
        <w:t>CAs</w:t>
      </w:r>
      <w:proofErr w:type="spellEnd"/>
      <w:r>
        <w:t xml:space="preserve"> and through the media (local or national press, radio and TV). Information is also available on the website of Ministry of Health (</w:t>
      </w:r>
      <w:hyperlink r:id="rId12" w:history="1">
        <w:r w:rsidRPr="003F4ABB">
          <w:rPr>
            <w:rStyle w:val="Hyperlink"/>
          </w:rPr>
          <w:t>http://www.mh.government.bg/Articles.aspx?lang=bg-BG&amp;pageid=507</w:t>
        </w:r>
      </w:hyperlink>
      <w:r>
        <w:t xml:space="preserve">). During the bathing season, every week the regional </w:t>
      </w:r>
      <w:proofErr w:type="spellStart"/>
      <w:r>
        <w:t>CAs</w:t>
      </w:r>
      <w:proofErr w:type="spellEnd"/>
      <w:r>
        <w:t xml:space="preserve"> </w:t>
      </w:r>
      <w:proofErr w:type="gramStart"/>
      <w:r>
        <w:t>give</w:t>
      </w:r>
      <w:proofErr w:type="gramEnd"/>
      <w:r>
        <w:t xml:space="preserve"> press conference including the current bathing water quality status on their territory. There is also a practice the actual information for bathing water quality to be made available to the guests of the big sea hotels.</w:t>
      </w:r>
    </w:p>
    <w:p w:rsidR="00941B43" w:rsidRDefault="00941B43" w:rsidP="00941B43"/>
    <w:p w:rsidR="00941B43" w:rsidRPr="00941B43" w:rsidRDefault="00941B43" w:rsidP="00941B43">
      <w:pPr>
        <w:rPr>
          <w:b/>
        </w:rPr>
      </w:pPr>
      <w:r w:rsidRPr="00941B43">
        <w:rPr>
          <w:b/>
        </w:rPr>
        <w:t>Wastewater treatment and treatment of diffuse pollution</w:t>
      </w:r>
    </w:p>
    <w:p w:rsidR="00941B43" w:rsidRDefault="00941B43" w:rsidP="00941B43"/>
    <w:p w:rsidR="00941B43" w:rsidRDefault="00941B43" w:rsidP="00941B43">
      <w:r>
        <w:t xml:space="preserve">In order to achieve the objectives of Directive 91/271/EEC concerning urban wastewater treatment Republic of Bulgaria developed an Implementation Program with of a set of measures and deadlines. Bulgaria has identified part of the national territory as a sensitive area according to the requirements of the Directive, including the whole Bulgarian Black Sea Region. The implementation programme is regularly updated, under the reporting procedure, identifying all the agglomerations within the scope of the Directive. According to the 2016 report, 58 agglomerations were identified falling in the scope of the Directive. Out of them 37 treated their wastewater in </w:t>
      </w:r>
      <w:proofErr w:type="spellStart"/>
      <w:r>
        <w:t>WWTPs</w:t>
      </w:r>
      <w:proofErr w:type="spellEnd"/>
      <w:r>
        <w:t xml:space="preserve">. For the rest 21 agglomerations of above 2 000 </w:t>
      </w:r>
      <w:proofErr w:type="spellStart"/>
      <w:proofErr w:type="gramStart"/>
      <w:r>
        <w:t>p.e</w:t>
      </w:r>
      <w:proofErr w:type="gramEnd"/>
      <w:r>
        <w:t>.</w:t>
      </w:r>
      <w:proofErr w:type="spellEnd"/>
      <w:r>
        <w:t xml:space="preserve"> in the Black Sea basin with no treatment, regional feasibility studies are currently in the process of elaboration. After their completion, infrastructure projects will be implemented with the Cohesion fund financing.</w:t>
      </w:r>
    </w:p>
    <w:p w:rsidR="00941B43" w:rsidRDefault="00941B43" w:rsidP="00941B43"/>
    <w:p w:rsidR="00106B63" w:rsidRDefault="00941B43" w:rsidP="00941B43">
      <w:r>
        <w:t>For decreasing the diffuse pollution sources, Republic of Bulgaria provides a system of measures, aiming full implementation of Directive 91/676/EEC concerning the protection of waters against pollution caused by nitrates from agricultural sources. Although significant pollution of the superficial waters and significant level of eutrophication have not been ascertained on the national territory, the above mentioned Action Program provides concrete measures for the prevention and the reduction of the surface waters’ pollution from agricultural sources. The Black Sea Coast Law establishes two kinds of protection zones (up to 2.1 km from the sea coast and alongside the whole Bulgarian coast’s length) where the use of mineral fertilizers and plant protection products is forbidden.</w:t>
      </w:r>
    </w:p>
    <w:p w:rsidR="00106B63" w:rsidRDefault="00106B63" w:rsidP="00ED3BDC"/>
    <w:p w:rsidR="00106B63" w:rsidRDefault="0024729D" w:rsidP="00ED3BDC">
      <w:pPr>
        <w:pStyle w:val="Heading1"/>
      </w:pPr>
      <w:r>
        <w:t>Bathing water quality assessment presentation in online viewers</w:t>
      </w:r>
    </w:p>
    <w:p w:rsidR="00106B63" w:rsidRDefault="00106B63" w:rsidP="00ED3BDC"/>
    <w:p w:rsidR="00106B63"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106B63" w:rsidRDefault="00106B63" w:rsidP="00EC573D"/>
    <w:p w:rsidR="00106B63"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106B63" w:rsidRDefault="002B438D" w:rsidP="003E2BA0">
      <w:r>
        <w:br w:type="page"/>
      </w:r>
    </w:p>
    <w:p w:rsidR="00106B63" w:rsidRDefault="002B438D" w:rsidP="00ED3BDC">
      <w:pPr>
        <w:rPr>
          <w:b/>
          <w:sz w:val="28"/>
        </w:rPr>
      </w:pPr>
      <w:r>
        <w:rPr>
          <w:b/>
          <w:sz w:val="28"/>
        </w:rPr>
        <w:lastRenderedPageBreak/>
        <w:t>Appendix 1: Results of bathing water quality in Bulgaria from 2014 to 2017</w:t>
      </w:r>
    </w:p>
    <w:p w:rsidR="00106B63" w:rsidRDefault="00106B63" w:rsidP="00ED3BDC"/>
    <w:p w:rsidR="00106B63"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106B63" w:rsidTr="005F5E3F">
        <w:tc>
          <w:tcPr>
            <w:tcW w:w="1276" w:type="dxa"/>
            <w:gridSpan w:val="2"/>
            <w:vMerge w:val="restart"/>
            <w:shd w:val="clear" w:color="auto" w:fill="F2F2F2" w:themeFill="background1" w:themeFillShade="F2"/>
          </w:tcPr>
          <w:p w:rsidR="00106B63" w:rsidRDefault="00106B63"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106B63" w:rsidRDefault="005F5E3F" w:rsidP="00B853E1">
            <w:pPr>
              <w:jc w:val="center"/>
              <w:rPr>
                <w:rFonts w:asciiTheme="minorHAnsi" w:hAnsiTheme="minorHAnsi"/>
                <w:b/>
                <w:sz w:val="20"/>
                <w:szCs w:val="20"/>
              </w:rPr>
            </w:pPr>
            <w:r>
              <w:rPr>
                <w:rFonts w:asciiTheme="minorHAnsi" w:hAnsiTheme="minorHAnsi"/>
                <w:b/>
                <w:sz w:val="20"/>
                <w:szCs w:val="20"/>
              </w:rPr>
              <w:t>Total</w:t>
            </w:r>
          </w:p>
          <w:p w:rsidR="00106B63" w:rsidRDefault="005F5E3F" w:rsidP="00B853E1">
            <w:pPr>
              <w:jc w:val="center"/>
              <w:rPr>
                <w:rFonts w:asciiTheme="minorHAnsi" w:hAnsiTheme="minorHAnsi"/>
                <w:b/>
                <w:sz w:val="20"/>
                <w:szCs w:val="20"/>
              </w:rPr>
            </w:pPr>
            <w:r>
              <w:rPr>
                <w:rFonts w:asciiTheme="minorHAnsi" w:hAnsiTheme="minorHAnsi"/>
                <w:b/>
                <w:sz w:val="20"/>
                <w:szCs w:val="20"/>
              </w:rPr>
              <w:t>number</w:t>
            </w:r>
          </w:p>
          <w:p w:rsidR="00106B63" w:rsidRDefault="005F5E3F" w:rsidP="00B853E1">
            <w:pPr>
              <w:jc w:val="center"/>
              <w:rPr>
                <w:rFonts w:asciiTheme="minorHAnsi" w:hAnsiTheme="minorHAnsi"/>
                <w:b/>
                <w:sz w:val="20"/>
                <w:szCs w:val="20"/>
              </w:rPr>
            </w:pPr>
            <w:r>
              <w:rPr>
                <w:rFonts w:asciiTheme="minorHAnsi" w:hAnsiTheme="minorHAnsi"/>
                <w:b/>
                <w:sz w:val="20"/>
                <w:szCs w:val="20"/>
              </w:rPr>
              <w:t>of</w:t>
            </w:r>
          </w:p>
          <w:p w:rsidR="00106B63" w:rsidRDefault="005F5E3F" w:rsidP="00B853E1">
            <w:pPr>
              <w:jc w:val="center"/>
              <w:rPr>
                <w:rFonts w:asciiTheme="minorHAnsi" w:hAnsiTheme="minorHAnsi"/>
                <w:b/>
                <w:sz w:val="20"/>
                <w:szCs w:val="20"/>
              </w:rPr>
            </w:pPr>
            <w:r>
              <w:rPr>
                <w:rFonts w:asciiTheme="minorHAnsi" w:hAnsiTheme="minorHAnsi"/>
                <w:b/>
                <w:sz w:val="20"/>
                <w:szCs w:val="20"/>
              </w:rPr>
              <w:t>bathing</w:t>
            </w:r>
          </w:p>
          <w:p w:rsidR="00106B63"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106B63"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106B63" w:rsidRDefault="005F5E3F" w:rsidP="00B853E1">
            <w:pPr>
              <w:jc w:val="center"/>
              <w:rPr>
                <w:rFonts w:asciiTheme="minorHAnsi" w:hAnsiTheme="minorHAnsi"/>
                <w:b/>
                <w:sz w:val="20"/>
                <w:szCs w:val="20"/>
              </w:rPr>
            </w:pPr>
            <w:r>
              <w:rPr>
                <w:rFonts w:asciiTheme="minorHAnsi" w:hAnsiTheme="minorHAnsi"/>
                <w:b/>
                <w:sz w:val="20"/>
                <w:szCs w:val="20"/>
              </w:rPr>
              <w:t>At least</w:t>
            </w:r>
          </w:p>
          <w:p w:rsidR="00106B63" w:rsidRDefault="005F5E3F" w:rsidP="00B853E1">
            <w:pPr>
              <w:jc w:val="center"/>
              <w:rPr>
                <w:rFonts w:asciiTheme="minorHAnsi" w:hAnsiTheme="minorHAnsi"/>
                <w:b/>
                <w:sz w:val="20"/>
                <w:szCs w:val="20"/>
              </w:rPr>
            </w:pPr>
            <w:r>
              <w:rPr>
                <w:rFonts w:asciiTheme="minorHAnsi" w:hAnsiTheme="minorHAnsi"/>
                <w:b/>
                <w:sz w:val="20"/>
                <w:szCs w:val="20"/>
              </w:rPr>
              <w:t>sufficient</w:t>
            </w:r>
          </w:p>
          <w:p w:rsidR="00106B63"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106B63"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106B63" w:rsidRDefault="005F5E3F" w:rsidP="00B853E1">
            <w:pPr>
              <w:jc w:val="center"/>
              <w:rPr>
                <w:rFonts w:asciiTheme="minorHAnsi" w:hAnsiTheme="minorHAnsi"/>
                <w:b/>
                <w:sz w:val="20"/>
                <w:szCs w:val="20"/>
              </w:rPr>
            </w:pPr>
            <w:r>
              <w:rPr>
                <w:rFonts w:asciiTheme="minorHAnsi" w:hAnsiTheme="minorHAnsi"/>
                <w:b/>
                <w:sz w:val="20"/>
                <w:szCs w:val="20"/>
              </w:rPr>
              <w:t>Quality</w:t>
            </w:r>
          </w:p>
          <w:p w:rsidR="00106B63"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106B63"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106B63"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106B63" w:rsidRDefault="005F5E3F" w:rsidP="00B853E1">
            <w:pPr>
              <w:jc w:val="center"/>
              <w:rPr>
                <w:rFonts w:asciiTheme="minorHAnsi" w:hAnsiTheme="minorHAnsi"/>
                <w:b/>
                <w:sz w:val="20"/>
                <w:szCs w:val="20"/>
              </w:rPr>
            </w:pPr>
            <w:r>
              <w:rPr>
                <w:rFonts w:asciiTheme="minorHAnsi" w:hAnsiTheme="minorHAnsi"/>
                <w:b/>
                <w:sz w:val="20"/>
                <w:szCs w:val="20"/>
              </w:rPr>
              <w:t>/new bathing</w:t>
            </w:r>
          </w:p>
          <w:p w:rsidR="00106B63" w:rsidRDefault="005F5E3F" w:rsidP="00B853E1">
            <w:pPr>
              <w:jc w:val="center"/>
              <w:rPr>
                <w:rFonts w:asciiTheme="minorHAnsi" w:hAnsiTheme="minorHAnsi"/>
                <w:b/>
                <w:sz w:val="20"/>
                <w:szCs w:val="20"/>
              </w:rPr>
            </w:pPr>
            <w:r>
              <w:rPr>
                <w:rFonts w:asciiTheme="minorHAnsi" w:hAnsiTheme="minorHAnsi"/>
                <w:b/>
                <w:sz w:val="20"/>
                <w:szCs w:val="20"/>
              </w:rPr>
              <w:t>waters/bathing</w:t>
            </w:r>
          </w:p>
          <w:p w:rsidR="00106B63"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106B63" w:rsidTr="005F5E3F">
        <w:tc>
          <w:tcPr>
            <w:tcW w:w="1276" w:type="dxa"/>
            <w:gridSpan w:val="2"/>
            <w:vMerge/>
            <w:tcBorders>
              <w:bottom w:val="single" w:sz="4" w:space="0" w:color="808080" w:themeColor="background1" w:themeShade="80"/>
            </w:tcBorders>
            <w:shd w:val="clear" w:color="auto" w:fill="F2F2F2" w:themeFill="background1" w:themeFillShade="F2"/>
          </w:tcPr>
          <w:p w:rsidR="00106B63" w:rsidRDefault="00106B63"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106B63" w:rsidRDefault="00106B63"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106B6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106B6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106B6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106B6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106B6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106B63"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106B6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106B63" w:rsidRDefault="005F5E3F" w:rsidP="00430B97">
            <w:pPr>
              <w:jc w:val="center"/>
              <w:rPr>
                <w:rFonts w:asciiTheme="minorHAnsi" w:hAnsiTheme="minorHAnsi"/>
                <w:b/>
                <w:sz w:val="20"/>
                <w:szCs w:val="20"/>
              </w:rPr>
            </w:pPr>
            <w:r>
              <w:rPr>
                <w:rFonts w:asciiTheme="minorHAnsi" w:hAnsiTheme="minorHAnsi"/>
                <w:b/>
                <w:sz w:val="20"/>
                <w:szCs w:val="20"/>
              </w:rPr>
              <w:t>%</w:t>
            </w:r>
          </w:p>
        </w:tc>
      </w:tr>
      <w:tr w:rsidR="00106B6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941B43">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90</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65</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72.2</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87</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96.7</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3.3</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r>
      <w:tr w:rsidR="00106B6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5C19AE">
            <w:pPr>
              <w:jc w:val="center"/>
              <w:rPr>
                <w:rFonts w:asciiTheme="minorHAnsi" w:hAnsiTheme="minorHAnsi"/>
                <w:sz w:val="20"/>
                <w:szCs w:val="20"/>
              </w:rPr>
            </w:pPr>
            <w:r>
              <w:rPr>
                <w:rFonts w:asciiTheme="minorHAnsi" w:hAnsiTheme="minorHAnsi"/>
                <w:sz w:val="20"/>
                <w:szCs w:val="20"/>
              </w:rPr>
              <w:t>Coastal</w:t>
            </w:r>
          </w:p>
          <w:p w:rsidR="00106B63" w:rsidRDefault="00106B6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90</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63</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70.0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87</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96.7</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3.3</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r>
      <w:tr w:rsidR="00106B6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5C19AE">
            <w:pPr>
              <w:jc w:val="center"/>
              <w:rPr>
                <w:rFonts w:asciiTheme="minorHAnsi" w:hAnsiTheme="minorHAnsi"/>
                <w:sz w:val="20"/>
                <w:szCs w:val="20"/>
              </w:rPr>
            </w:pPr>
            <w:r>
              <w:rPr>
                <w:rFonts w:asciiTheme="minorHAnsi" w:hAnsiTheme="minorHAnsi"/>
                <w:sz w:val="20"/>
                <w:szCs w:val="20"/>
              </w:rPr>
              <w:t>Coastal</w:t>
            </w:r>
          </w:p>
          <w:p w:rsidR="00106B63" w:rsidRDefault="00106B6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90</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57</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63.3</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89</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98.9</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1.1</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r>
      <w:tr w:rsidR="00106B6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5C19AE">
            <w:pPr>
              <w:jc w:val="center"/>
              <w:rPr>
                <w:rFonts w:asciiTheme="minorHAnsi" w:hAnsiTheme="minorHAnsi"/>
                <w:sz w:val="20"/>
                <w:szCs w:val="20"/>
              </w:rPr>
            </w:pPr>
            <w:r>
              <w:rPr>
                <w:rFonts w:asciiTheme="minorHAnsi" w:hAnsiTheme="minorHAnsi"/>
                <w:sz w:val="20"/>
                <w:szCs w:val="20"/>
              </w:rPr>
              <w:t>Coastal</w:t>
            </w:r>
          </w:p>
          <w:p w:rsidR="00106B63" w:rsidRDefault="00106B6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91</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41</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45.1</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89</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97.8</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1.1</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1.1</w:t>
            </w:r>
          </w:p>
        </w:tc>
      </w:tr>
      <w:tr w:rsidR="00106B6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941B43">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r>
      <w:tr w:rsidR="00106B6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106B63" w:rsidRDefault="00106B6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r>
      <w:tr w:rsidR="00106B6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106B63" w:rsidRDefault="00106B6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r>
      <w:tr w:rsidR="00106B6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106B6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106B63" w:rsidRDefault="00106B6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39"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w:t>
            </w:r>
          </w:p>
        </w:tc>
        <w:tc>
          <w:tcPr>
            <w:tcW w:w="904"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25.0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4</w:t>
            </w:r>
          </w:p>
        </w:tc>
        <w:tc>
          <w:tcPr>
            <w:tcW w:w="99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106B63" w:rsidRDefault="005F5E3F" w:rsidP="002E7263">
            <w:pPr>
              <w:jc w:val="right"/>
              <w:rPr>
                <w:rFonts w:asciiTheme="minorHAnsi" w:hAnsiTheme="minorHAnsi"/>
                <w:sz w:val="20"/>
                <w:szCs w:val="20"/>
              </w:rPr>
            </w:pPr>
            <w:r>
              <w:rPr>
                <w:rFonts w:asciiTheme="minorHAnsi" w:hAnsiTheme="minorHAnsi"/>
                <w:sz w:val="20"/>
                <w:szCs w:val="20"/>
              </w:rPr>
              <w:t>0.0</w:t>
            </w:r>
          </w:p>
        </w:tc>
      </w:tr>
      <w:tr w:rsidR="00106B63" w:rsidTr="005F5E3F">
        <w:trPr>
          <w:cantSplit/>
          <w:trHeight w:val="425"/>
        </w:trPr>
        <w:tc>
          <w:tcPr>
            <w:tcW w:w="426" w:type="dxa"/>
            <w:vMerge w:val="restart"/>
            <w:tcBorders>
              <w:top w:val="single" w:sz="4" w:space="0" w:color="808080" w:themeColor="background1" w:themeShade="80"/>
            </w:tcBorders>
            <w:textDirection w:val="btLr"/>
            <w:vAlign w:val="center"/>
          </w:tcPr>
          <w:p w:rsidR="00106B63" w:rsidRDefault="005F5E3F" w:rsidP="00941B43">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94</w:t>
            </w:r>
          </w:p>
        </w:tc>
        <w:tc>
          <w:tcPr>
            <w:tcW w:w="939"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69</w:t>
            </w:r>
          </w:p>
        </w:tc>
        <w:tc>
          <w:tcPr>
            <w:tcW w:w="904"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73.4</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91</w:t>
            </w:r>
          </w:p>
        </w:tc>
        <w:tc>
          <w:tcPr>
            <w:tcW w:w="99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96.8</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3.2</w:t>
            </w:r>
          </w:p>
        </w:tc>
        <w:tc>
          <w:tcPr>
            <w:tcW w:w="90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0.0</w:t>
            </w:r>
          </w:p>
        </w:tc>
      </w:tr>
      <w:tr w:rsidR="00106B63" w:rsidTr="005F5E3F">
        <w:trPr>
          <w:cantSplit/>
          <w:trHeight w:val="425"/>
        </w:trPr>
        <w:tc>
          <w:tcPr>
            <w:tcW w:w="426" w:type="dxa"/>
            <w:vMerge/>
            <w:tcBorders>
              <w:top w:val="single" w:sz="4" w:space="0" w:color="808080" w:themeColor="background1" w:themeShade="80"/>
            </w:tcBorders>
            <w:textDirection w:val="btLr"/>
            <w:vAlign w:val="center"/>
          </w:tcPr>
          <w:p w:rsidR="00106B6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106B63" w:rsidRDefault="00106B6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94</w:t>
            </w:r>
          </w:p>
        </w:tc>
        <w:tc>
          <w:tcPr>
            <w:tcW w:w="939"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67</w:t>
            </w:r>
          </w:p>
        </w:tc>
        <w:tc>
          <w:tcPr>
            <w:tcW w:w="904"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71.3</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91</w:t>
            </w:r>
          </w:p>
        </w:tc>
        <w:tc>
          <w:tcPr>
            <w:tcW w:w="99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96.8</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3.2</w:t>
            </w:r>
          </w:p>
        </w:tc>
        <w:tc>
          <w:tcPr>
            <w:tcW w:w="90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0.0</w:t>
            </w:r>
          </w:p>
        </w:tc>
      </w:tr>
      <w:tr w:rsidR="00106B63" w:rsidTr="005F5E3F">
        <w:trPr>
          <w:cantSplit/>
          <w:trHeight w:val="425"/>
        </w:trPr>
        <w:tc>
          <w:tcPr>
            <w:tcW w:w="426" w:type="dxa"/>
            <w:vMerge/>
            <w:tcBorders>
              <w:top w:val="single" w:sz="4" w:space="0" w:color="808080" w:themeColor="background1" w:themeShade="80"/>
            </w:tcBorders>
            <w:textDirection w:val="btLr"/>
            <w:vAlign w:val="center"/>
          </w:tcPr>
          <w:p w:rsidR="00106B6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106B63" w:rsidRDefault="00106B6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94</w:t>
            </w:r>
          </w:p>
        </w:tc>
        <w:tc>
          <w:tcPr>
            <w:tcW w:w="939"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61</w:t>
            </w:r>
          </w:p>
        </w:tc>
        <w:tc>
          <w:tcPr>
            <w:tcW w:w="904"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64.9</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93</w:t>
            </w:r>
          </w:p>
        </w:tc>
        <w:tc>
          <w:tcPr>
            <w:tcW w:w="99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98.9</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1.1</w:t>
            </w:r>
          </w:p>
        </w:tc>
        <w:tc>
          <w:tcPr>
            <w:tcW w:w="90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0.0</w:t>
            </w:r>
          </w:p>
        </w:tc>
      </w:tr>
      <w:tr w:rsidR="00106B63" w:rsidTr="005F5E3F">
        <w:trPr>
          <w:cantSplit/>
          <w:trHeight w:val="425"/>
        </w:trPr>
        <w:tc>
          <w:tcPr>
            <w:tcW w:w="426" w:type="dxa"/>
            <w:vMerge/>
            <w:tcBorders>
              <w:top w:val="single" w:sz="4" w:space="0" w:color="808080" w:themeColor="background1" w:themeShade="80"/>
            </w:tcBorders>
            <w:textDirection w:val="btLr"/>
            <w:vAlign w:val="center"/>
          </w:tcPr>
          <w:p w:rsidR="00106B6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106B63" w:rsidRDefault="00106B6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95</w:t>
            </w:r>
          </w:p>
        </w:tc>
        <w:tc>
          <w:tcPr>
            <w:tcW w:w="939"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42</w:t>
            </w:r>
          </w:p>
        </w:tc>
        <w:tc>
          <w:tcPr>
            <w:tcW w:w="904"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44.2</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93</w:t>
            </w:r>
          </w:p>
        </w:tc>
        <w:tc>
          <w:tcPr>
            <w:tcW w:w="99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97.9</w:t>
            </w:r>
          </w:p>
        </w:tc>
        <w:tc>
          <w:tcPr>
            <w:tcW w:w="992"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1.1</w:t>
            </w:r>
          </w:p>
        </w:tc>
        <w:tc>
          <w:tcPr>
            <w:tcW w:w="903"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1</w:t>
            </w:r>
          </w:p>
        </w:tc>
        <w:tc>
          <w:tcPr>
            <w:tcW w:w="940" w:type="dxa"/>
            <w:tcBorders>
              <w:top w:val="single" w:sz="4" w:space="0" w:color="808080" w:themeColor="background1" w:themeShade="80"/>
            </w:tcBorders>
            <w:vAlign w:val="center"/>
          </w:tcPr>
          <w:p w:rsidR="00106B63" w:rsidRDefault="005F5E3F" w:rsidP="002E7263">
            <w:pPr>
              <w:jc w:val="right"/>
              <w:rPr>
                <w:rFonts w:asciiTheme="minorHAnsi" w:hAnsiTheme="minorHAnsi"/>
                <w:b/>
                <w:sz w:val="20"/>
                <w:szCs w:val="20"/>
              </w:rPr>
            </w:pPr>
            <w:r>
              <w:rPr>
                <w:rFonts w:asciiTheme="minorHAnsi" w:hAnsiTheme="minorHAnsi"/>
                <w:b/>
                <w:sz w:val="20"/>
                <w:szCs w:val="20"/>
              </w:rPr>
              <w:t>1.1</w:t>
            </w:r>
          </w:p>
        </w:tc>
      </w:tr>
    </w:tbl>
    <w:p w:rsidR="00106B63"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106B63" w:rsidRDefault="002B438D" w:rsidP="00ED3BDC">
      <w:r>
        <w:br w:type="page"/>
      </w:r>
    </w:p>
    <w:p w:rsidR="00106B63" w:rsidRDefault="002B438D" w:rsidP="00ED3BDC">
      <w:pPr>
        <w:rPr>
          <w:b/>
          <w:sz w:val="28"/>
        </w:rPr>
      </w:pPr>
      <w:r>
        <w:rPr>
          <w:b/>
          <w:sz w:val="28"/>
        </w:rPr>
        <w:lastRenderedPageBreak/>
        <w:t>Appendix 2: Bathing water quality map</w:t>
      </w:r>
    </w:p>
    <w:p w:rsidR="00106B63" w:rsidRDefault="00106B63" w:rsidP="00ED3BDC"/>
    <w:p w:rsidR="00106B63" w:rsidRDefault="00941B43" w:rsidP="00ED3BDC">
      <w:r>
        <w:rPr>
          <w:noProof/>
          <w:lang w:eastAsia="en-GB"/>
        </w:rPr>
        <w:drawing>
          <wp:inline distT="0" distB="0" distL="0" distR="0">
            <wp:extent cx="6188710" cy="8008919"/>
            <wp:effectExtent l="0" t="0" r="2540" b="0"/>
            <wp:docPr id="4" name="Picture 4" descr="D:\Projekti\BWD\BWD 2017\National reports\GIS\map\NationalReports\PNG\20180420\BG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BG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106B63"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79" w:rsidRDefault="00173779" w:rsidP="00ED3BDC">
      <w:r>
        <w:separator/>
      </w:r>
    </w:p>
  </w:endnote>
  <w:endnote w:type="continuationSeparator" w:id="0">
    <w:p w:rsidR="00173779" w:rsidRDefault="00173779" w:rsidP="00ED3BDC">
      <w:r>
        <w:continuationSeparator/>
      </w:r>
    </w:p>
  </w:endnote>
  <w:endnote w:type="continuationNotice" w:id="1">
    <w:p w:rsidR="00173779" w:rsidRDefault="00173779"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63" w:rsidRDefault="00106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63" w:rsidRDefault="00106B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63" w:rsidRDefault="00106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79" w:rsidRDefault="00173779" w:rsidP="00ED3BDC">
      <w:r>
        <w:separator/>
      </w:r>
    </w:p>
  </w:footnote>
  <w:footnote w:type="continuationSeparator" w:id="0">
    <w:p w:rsidR="00173779" w:rsidRDefault="00173779" w:rsidP="00ED3BDC">
      <w:r>
        <w:continuationSeparator/>
      </w:r>
    </w:p>
  </w:footnote>
  <w:footnote w:type="continuationNotice" w:id="1">
    <w:p w:rsidR="00173779" w:rsidRDefault="00173779"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r w:rsidR="00AC4D8A" w:rsidRPr="00AC4D8A">
        <w:t>BWD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r w:rsidRPr="00E66938">
        <w:t>EEA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63" w:rsidRDefault="00106B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63" w:rsidRDefault="00106B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63"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06B63"/>
    <w:rsid w:val="001111CA"/>
    <w:rsid w:val="001306A1"/>
    <w:rsid w:val="00140CEC"/>
    <w:rsid w:val="00141246"/>
    <w:rsid w:val="0014341B"/>
    <w:rsid w:val="00164618"/>
    <w:rsid w:val="00170F8A"/>
    <w:rsid w:val="00172541"/>
    <w:rsid w:val="00173779"/>
    <w:rsid w:val="001B33D3"/>
    <w:rsid w:val="001B7E1B"/>
    <w:rsid w:val="001C09AF"/>
    <w:rsid w:val="001C4A65"/>
    <w:rsid w:val="001C4C81"/>
    <w:rsid w:val="001D78E6"/>
    <w:rsid w:val="001E0FA9"/>
    <w:rsid w:val="001F33BA"/>
    <w:rsid w:val="00200316"/>
    <w:rsid w:val="00204A0D"/>
    <w:rsid w:val="002101CA"/>
    <w:rsid w:val="00210869"/>
    <w:rsid w:val="00212BC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52B10"/>
    <w:rsid w:val="00871660"/>
    <w:rsid w:val="008732EC"/>
    <w:rsid w:val="0087442C"/>
    <w:rsid w:val="00882DDB"/>
    <w:rsid w:val="008928A8"/>
    <w:rsid w:val="00896223"/>
    <w:rsid w:val="008A3C2A"/>
    <w:rsid w:val="008B1FE5"/>
    <w:rsid w:val="008B5077"/>
    <w:rsid w:val="008C5978"/>
    <w:rsid w:val="008D1210"/>
    <w:rsid w:val="008D34E0"/>
    <w:rsid w:val="00917359"/>
    <w:rsid w:val="00927269"/>
    <w:rsid w:val="00941B43"/>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9F7512"/>
    <w:rsid w:val="00A24E63"/>
    <w:rsid w:val="00A34909"/>
    <w:rsid w:val="00A45A95"/>
    <w:rsid w:val="00A4772B"/>
    <w:rsid w:val="00A52CA7"/>
    <w:rsid w:val="00A532B3"/>
    <w:rsid w:val="00A53DEF"/>
    <w:rsid w:val="00A5608E"/>
    <w:rsid w:val="00A57F42"/>
    <w:rsid w:val="00A66D1E"/>
    <w:rsid w:val="00A74BD1"/>
    <w:rsid w:val="00A76CE0"/>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53E1"/>
    <w:rsid w:val="00B85E2D"/>
    <w:rsid w:val="00B93612"/>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B231E"/>
    <w:rsid w:val="00DB3D3B"/>
    <w:rsid w:val="00DB5BCA"/>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h.government.bg/Articles.aspx?lang=bg-BG&amp;pageid=5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h.government.bg/bg/administrativni-uslugi/registri/"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Feuil1!$B$2:$B$12</c:f>
              <c:numCache>
                <c:formatCode>General</c:formatCode>
                <c:ptCount val="11"/>
                <c:pt idx="0">
                  <c:v>0.76400000000000001</c:v>
                </c:pt>
                <c:pt idx="1">
                  <c:v>0.78649999999999998</c:v>
                </c:pt>
                <c:pt idx="2">
                  <c:v>0.91010000000000002</c:v>
                </c:pt>
                <c:pt idx="3">
                  <c:v>0.84440000000000004</c:v>
                </c:pt>
                <c:pt idx="4">
                  <c:v>0.50560000000000005</c:v>
                </c:pt>
                <c:pt idx="5">
                  <c:v>0.61799999999999999</c:v>
                </c:pt>
                <c:pt idx="6">
                  <c:v>0.65559999999999996</c:v>
                </c:pt>
                <c:pt idx="7">
                  <c:v>0.72219999999999995</c:v>
                </c:pt>
                <c:pt idx="8">
                  <c:v>0.7</c:v>
                </c:pt>
                <c:pt idx="9">
                  <c:v>0.63329999999999997</c:v>
                </c:pt>
                <c:pt idx="10">
                  <c:v>0.45050000000000001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Feuil1!$C$2:$C$12</c:f>
              <c:numCache>
                <c:formatCode>General</c:formatCode>
                <c:ptCount val="11"/>
                <c:pt idx="0">
                  <c:v>0.89890000000000003</c:v>
                </c:pt>
                <c:pt idx="1">
                  <c:v>0.93259999999999998</c:v>
                </c:pt>
                <c:pt idx="2">
                  <c:v>0.98880000000000001</c:v>
                </c:pt>
                <c:pt idx="3">
                  <c:v>1</c:v>
                </c:pt>
                <c:pt idx="4">
                  <c:v>0.96630000000000005</c:v>
                </c:pt>
                <c:pt idx="5">
                  <c:v>0.98880000000000001</c:v>
                </c:pt>
                <c:pt idx="6">
                  <c:v>0.9889</c:v>
                </c:pt>
                <c:pt idx="7">
                  <c:v>0.9667</c:v>
                </c:pt>
                <c:pt idx="8">
                  <c:v>0.9667</c:v>
                </c:pt>
                <c:pt idx="9">
                  <c:v>0.9889</c:v>
                </c:pt>
                <c:pt idx="10">
                  <c:v>0.97799999999999998</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Feuil1!$D$2:$D$12</c:f>
              <c:numCache>
                <c:formatCode>General</c:formatCode>
                <c:ptCount val="11"/>
                <c:pt idx="0">
                  <c:v>8.9899999999999994E-2</c:v>
                </c:pt>
                <c:pt idx="1">
                  <c:v>6.7400000000000002E-2</c:v>
                </c:pt>
                <c:pt idx="2">
                  <c:v>1.12E-2</c:v>
                </c:pt>
                <c:pt idx="3">
                  <c:v>0</c:v>
                </c:pt>
                <c:pt idx="4">
                  <c:v>3.3700000000000001E-2</c:v>
                </c:pt>
                <c:pt idx="5">
                  <c:v>1.12E-2</c:v>
                </c:pt>
                <c:pt idx="6">
                  <c:v>1.11E-2</c:v>
                </c:pt>
                <c:pt idx="7">
                  <c:v>3.3300000000000003E-2</c:v>
                </c:pt>
                <c:pt idx="8">
                  <c:v>3.3300000000000003E-2</c:v>
                </c:pt>
                <c:pt idx="9">
                  <c:v>1.11E-2</c:v>
                </c:pt>
                <c:pt idx="10">
                  <c:v>1.0999999999999999E-2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Feuil1!$E$2:$E$12</c:f>
              <c:numCache>
                <c:formatCode>General</c:formatCode>
                <c:ptCount val="11"/>
                <c:pt idx="0">
                  <c:v>1.12E-2</c:v>
                </c:pt>
                <c:pt idx="1">
                  <c:v>0</c:v>
                </c:pt>
                <c:pt idx="2">
                  <c:v>0</c:v>
                </c:pt>
                <c:pt idx="3">
                  <c:v>0</c:v>
                </c:pt>
                <c:pt idx="4">
                  <c:v>0</c:v>
                </c:pt>
                <c:pt idx="5">
                  <c:v>0</c:v>
                </c:pt>
                <c:pt idx="6">
                  <c:v>0</c:v>
                </c:pt>
                <c:pt idx="7">
                  <c:v>0</c:v>
                </c:pt>
                <c:pt idx="8">
                  <c:v>0</c:v>
                </c:pt>
                <c:pt idx="9">
                  <c:v>0</c:v>
                </c:pt>
                <c:pt idx="10">
                  <c:v>1.0999999999999999E-2</c:v>
                </c:pt>
              </c:numCache>
            </c:numRef>
          </c:val>
          <c:smooth val="0"/>
        </c:ser>
        <c:dLbls>
          <c:showLegendKey val="0"/>
          <c:showVal val="0"/>
          <c:showCatName val="0"/>
          <c:showSerName val="0"/>
          <c:showPercent val="0"/>
          <c:showBubbleSize val="0"/>
        </c:dLbls>
        <c:marker val="1"/>
        <c:smooth val="0"/>
        <c:axId val="178123520"/>
        <c:axId val="178125056"/>
      </c:lineChart>
      <c:catAx>
        <c:axId val="178123520"/>
        <c:scaling>
          <c:orientation val="minMax"/>
        </c:scaling>
        <c:delete val="0"/>
        <c:axPos val="b"/>
        <c:numFmt formatCode="@" sourceLinked="0"/>
        <c:majorTickMark val="out"/>
        <c:minorTickMark val="none"/>
        <c:tickLblPos val="nextTo"/>
        <c:crossAx val="178125056"/>
        <c:crosses val="autoZero"/>
        <c:auto val="1"/>
        <c:lblAlgn val="ctr"/>
        <c:lblOffset val="100"/>
        <c:noMultiLvlLbl val="0"/>
      </c:catAx>
      <c:valAx>
        <c:axId val="178125056"/>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8123520"/>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Feuil1!$B$2:$B$12</c:f>
              <c:numCache>
                <c:formatCode>General</c:formatCode>
                <c:ptCount val="11"/>
                <c:pt idx="0">
                  <c:v>1</c:v>
                </c:pt>
                <c:pt idx="1">
                  <c:v>0.5</c:v>
                </c:pt>
                <c:pt idx="2">
                  <c:v>0.75</c:v>
                </c:pt>
                <c:pt idx="3">
                  <c:v>1</c:v>
                </c:pt>
                <c:pt idx="4">
                  <c:v>0.25</c:v>
                </c:pt>
                <c:pt idx="5">
                  <c:v>1</c:v>
                </c:pt>
                <c:pt idx="6">
                  <c:v>0.75</c:v>
                </c:pt>
                <c:pt idx="7">
                  <c:v>1</c:v>
                </c:pt>
                <c:pt idx="8">
                  <c:v>1</c:v>
                </c:pt>
                <c:pt idx="9">
                  <c:v>1</c:v>
                </c:pt>
                <c:pt idx="10">
                  <c:v>0.25</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Feuil1!$C$2:$C$12</c:f>
              <c:numCache>
                <c:formatCode>General</c:formatCode>
                <c:ptCount val="11"/>
                <c:pt idx="0">
                  <c:v>1</c:v>
                </c:pt>
                <c:pt idx="1">
                  <c:v>1</c:v>
                </c:pt>
                <c:pt idx="2">
                  <c:v>1</c:v>
                </c:pt>
                <c:pt idx="3">
                  <c:v>1</c:v>
                </c:pt>
                <c:pt idx="4">
                  <c:v>1</c:v>
                </c:pt>
                <c:pt idx="5">
                  <c:v>1</c:v>
                </c:pt>
                <c:pt idx="6">
                  <c:v>1</c:v>
                </c:pt>
                <c:pt idx="7">
                  <c:v>1</c:v>
                </c:pt>
                <c:pt idx="8">
                  <c:v>1</c:v>
                </c:pt>
                <c:pt idx="9">
                  <c:v>1</c:v>
                </c:pt>
                <c:pt idx="10">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Feuil1!$D$2:$D$12</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Feuil1!$E$2:$E$12</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smooth val="0"/>
        </c:ser>
        <c:dLbls>
          <c:showLegendKey val="0"/>
          <c:showVal val="0"/>
          <c:showCatName val="0"/>
          <c:showSerName val="0"/>
          <c:showPercent val="0"/>
          <c:showBubbleSize val="0"/>
        </c:dLbls>
        <c:marker val="1"/>
        <c:smooth val="0"/>
        <c:axId val="178356608"/>
        <c:axId val="178358144"/>
      </c:lineChart>
      <c:catAx>
        <c:axId val="178356608"/>
        <c:scaling>
          <c:orientation val="minMax"/>
        </c:scaling>
        <c:delete val="0"/>
        <c:axPos val="b"/>
        <c:numFmt formatCode="@" sourceLinked="0"/>
        <c:majorTickMark val="out"/>
        <c:minorTickMark val="none"/>
        <c:tickLblPos val="nextTo"/>
        <c:crossAx val="178358144"/>
        <c:crosses val="autoZero"/>
        <c:auto val="1"/>
        <c:lblAlgn val="ctr"/>
        <c:lblOffset val="100"/>
        <c:noMultiLvlLbl val="0"/>
      </c:catAx>
      <c:valAx>
        <c:axId val="17835814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835660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08D39-FAD1-44A6-9E17-1DC70F00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3049</TotalTime>
  <Pages>8</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226</cp:revision>
  <dcterms:created xsi:type="dcterms:W3CDTF">2014-04-16T13:17:00Z</dcterms:created>
  <dcterms:modified xsi:type="dcterms:W3CDTF">2018-04-25T13:43:00Z</dcterms:modified>
</cp:coreProperties>
</file>